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2d64" w14:textId="7702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нормативов допустимого антропогенного воздействия на атмосферный воздух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14 сентября 2021 года № 375. Зарегистрирован в Министерстве юстиции Республики Казахстан 22 сентября 2021 года № 24462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201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нормативов допустимого антропогенного воздействия на атмосферный воздух.</w:t>
      </w:r>
    </w:p>
    <w:bookmarkEnd w:id="1"/>
    <w:bookmarkStart w:name="z6"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r>
              <w:br/>
            </w:r>
            <w:r>
              <w:rPr>
                <w:rFonts w:ascii="Times New Roman"/>
                <w:b w:val="false"/>
                <w:i/>
                <w:color w:val="000000"/>
                <w:sz w:val="20"/>
              </w:rPr>
              <w:t>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Республики Казахстан</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4"/>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 xml:space="preserve">Республики Казахстан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375</w:t>
            </w:r>
          </w:p>
        </w:tc>
      </w:tr>
    </w:tbl>
    <w:bookmarkStart w:name="z22" w:id="16"/>
    <w:p>
      <w:pPr>
        <w:spacing w:after="0"/>
        <w:ind w:left="0"/>
        <w:jc w:val="left"/>
      </w:pPr>
      <w:r>
        <w:rPr>
          <w:rFonts w:ascii="Times New Roman"/>
          <w:b/>
          <w:i w:val="false"/>
          <w:color w:val="000000"/>
        </w:rPr>
        <w:t xml:space="preserve"> Правила определения нормативов допустимого антропогенного воздействия на атмосферный воздух</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определения нормативов допустимого антропогенного воздействия на атмосферный воздух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201 Экологического кодекса Республики Казахстан (далее - Кодекс) и определяют порядок установления нормативов антропогенного воздействия на атмосферный воздух.</w:t>
      </w:r>
    </w:p>
    <w:bookmarkEnd w:id="18"/>
    <w:bookmarkStart w:name="z25" w:id="19"/>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19"/>
    <w:bookmarkStart w:name="z26" w:id="20"/>
    <w:p>
      <w:pPr>
        <w:spacing w:after="0"/>
        <w:ind w:left="0"/>
        <w:jc w:val="both"/>
      </w:pPr>
      <w:r>
        <w:rPr>
          <w:rFonts w:ascii="Times New Roman"/>
          <w:b w:val="false"/>
          <w:i w:val="false"/>
          <w:color w:val="000000"/>
          <w:sz w:val="28"/>
        </w:rPr>
        <w:t>
      1) заключение по наилучшим доступным техникам – разрешительный документ уполномоченного органа в области охраны окружающей среды, утвержденного на основании Справочников по наилучшим доступным техникам и включающего следующие положения: выводы по наилучшим доступным техникам; описание наилучших доступных техник; информацию, необходимую для оценки применимости наилучших доступных техник; уровни эмиссий, связанные с применением наилучших доступных техник;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требования по мониторингу, связанные с применением наилучших доступных техник; требования по рекомендации;</w:t>
      </w:r>
    </w:p>
    <w:bookmarkEnd w:id="20"/>
    <w:bookmarkStart w:name="z27" w:id="21"/>
    <w:p>
      <w:pPr>
        <w:spacing w:after="0"/>
        <w:ind w:left="0"/>
        <w:jc w:val="both"/>
      </w:pPr>
      <w:r>
        <w:rPr>
          <w:rFonts w:ascii="Times New Roman"/>
          <w:b w:val="false"/>
          <w:i w:val="false"/>
          <w:color w:val="000000"/>
          <w:sz w:val="28"/>
        </w:rPr>
        <w:t>
      2) наилучшие доступные техники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1"/>
    <w:bookmarkStart w:name="z28" w:id="22"/>
    <w:p>
      <w:pPr>
        <w:spacing w:after="0"/>
        <w:ind w:left="0"/>
        <w:jc w:val="both"/>
      </w:pPr>
      <w:r>
        <w:rPr>
          <w:rFonts w:ascii="Times New Roman"/>
          <w:b w:val="false"/>
          <w:i w:val="false"/>
          <w:color w:val="000000"/>
          <w:sz w:val="28"/>
        </w:rPr>
        <w:t>
      3)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22"/>
    <w:bookmarkStart w:name="z29" w:id="23"/>
    <w:p>
      <w:pPr>
        <w:spacing w:after="0"/>
        <w:ind w:left="0"/>
        <w:jc w:val="both"/>
      </w:pPr>
      <w:r>
        <w:rPr>
          <w:rFonts w:ascii="Times New Roman"/>
          <w:b w:val="false"/>
          <w:i w:val="false"/>
          <w:color w:val="000000"/>
          <w:sz w:val="28"/>
        </w:rPr>
        <w:t xml:space="preserve">
      4) объект технологического нормирования – объект, оказывающий антропогенное воздействие, а также, его части, на которых реализуется или планируется реализация хозяйственной деятельности, в отношении которой в справочниках по НДТ описаны идентичные технологические процессы; </w:t>
      </w:r>
    </w:p>
    <w:bookmarkEnd w:id="23"/>
    <w:bookmarkStart w:name="z30" w:id="24"/>
    <w:p>
      <w:pPr>
        <w:spacing w:after="0"/>
        <w:ind w:left="0"/>
        <w:jc w:val="both"/>
      </w:pPr>
      <w:r>
        <w:rPr>
          <w:rFonts w:ascii="Times New Roman"/>
          <w:b w:val="false"/>
          <w:i w:val="false"/>
          <w:color w:val="000000"/>
          <w:sz w:val="28"/>
        </w:rPr>
        <w:t xml:space="preserve">
      5) техника – используемые технологии,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 </w:t>
      </w:r>
    </w:p>
    <w:bookmarkEnd w:id="24"/>
    <w:bookmarkStart w:name="z31" w:id="25"/>
    <w:p>
      <w:pPr>
        <w:spacing w:after="0"/>
        <w:ind w:left="0"/>
        <w:jc w:val="both"/>
      </w:pPr>
      <w:r>
        <w:rPr>
          <w:rFonts w:ascii="Times New Roman"/>
          <w:b w:val="false"/>
          <w:i w:val="false"/>
          <w:color w:val="000000"/>
          <w:sz w:val="28"/>
        </w:rPr>
        <w:t>
      6) технологический норматив – экологические нормативы, устанавливаемые в комплексном экологическом разрешении в виде: предельного количества (массы) маркерных загрязняющих веществ на единицу объема эмиссий;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25"/>
    <w:bookmarkStart w:name="z32" w:id="26"/>
    <w:p>
      <w:pPr>
        <w:spacing w:after="0"/>
        <w:ind w:left="0"/>
        <w:jc w:val="both"/>
      </w:pPr>
      <w:r>
        <w:rPr>
          <w:rFonts w:ascii="Times New Roman"/>
          <w:b w:val="false"/>
          <w:i w:val="false"/>
          <w:color w:val="000000"/>
          <w:sz w:val="28"/>
        </w:rPr>
        <w:t>
      7) нормативы допустимого физического воздействия на природную среду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26"/>
    <w:bookmarkStart w:name="z33" w:id="27"/>
    <w:p>
      <w:pPr>
        <w:spacing w:after="0"/>
        <w:ind w:left="0"/>
        <w:jc w:val="both"/>
      </w:pPr>
      <w:r>
        <w:rPr>
          <w:rFonts w:ascii="Times New Roman"/>
          <w:b w:val="false"/>
          <w:i w:val="false"/>
          <w:color w:val="000000"/>
          <w:sz w:val="28"/>
        </w:rPr>
        <w:t>
      8) предельно допустимый уровень негативного физического воздействия (ПДУ) – максимальный уровень отдельных видов физического воздействия (шума, вибрации, электрических, электромагнитных, магнитных полей, радиации, тепла) установленный для круглосуточного воздействия на население, при котором отсутствует вредное воздействие на состояние животных, растений, экологических систем и биоразнообразия.</w:t>
      </w:r>
    </w:p>
    <w:bookmarkEnd w:id="27"/>
    <w:bookmarkStart w:name="z34" w:id="28"/>
    <w:p>
      <w:pPr>
        <w:spacing w:after="0"/>
        <w:ind w:left="0"/>
        <w:jc w:val="left"/>
      </w:pPr>
      <w:r>
        <w:rPr>
          <w:rFonts w:ascii="Times New Roman"/>
          <w:b/>
          <w:i w:val="false"/>
          <w:color w:val="000000"/>
        </w:rPr>
        <w:t xml:space="preserve"> Глава 2. Порядок определения нормативов допустимого антропогенного воздействия на атмосферный воздух</w:t>
      </w:r>
    </w:p>
    <w:bookmarkEnd w:id="28"/>
    <w:bookmarkStart w:name="z35" w:id="2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201 Кодекса нормативы допустимого антропогенного воздействия на атмосферный воздух включают в себя: </w:t>
      </w:r>
    </w:p>
    <w:bookmarkEnd w:id="29"/>
    <w:bookmarkStart w:name="z36" w:id="30"/>
    <w:p>
      <w:pPr>
        <w:spacing w:after="0"/>
        <w:ind w:left="0"/>
        <w:jc w:val="both"/>
      </w:pPr>
      <w:r>
        <w:rPr>
          <w:rFonts w:ascii="Times New Roman"/>
          <w:b w:val="false"/>
          <w:i w:val="false"/>
          <w:color w:val="000000"/>
          <w:sz w:val="28"/>
        </w:rPr>
        <w:t>
      нормативы допустимых выбросов;</w:t>
      </w:r>
    </w:p>
    <w:bookmarkEnd w:id="30"/>
    <w:bookmarkStart w:name="z37" w:id="31"/>
    <w:p>
      <w:pPr>
        <w:spacing w:after="0"/>
        <w:ind w:left="0"/>
        <w:jc w:val="both"/>
      </w:pPr>
      <w:r>
        <w:rPr>
          <w:rFonts w:ascii="Times New Roman"/>
          <w:b w:val="false"/>
          <w:i w:val="false"/>
          <w:color w:val="000000"/>
          <w:sz w:val="28"/>
        </w:rPr>
        <w:t>
      технологические нормативы выбросов;</w:t>
      </w:r>
    </w:p>
    <w:bookmarkEnd w:id="31"/>
    <w:bookmarkStart w:name="z38" w:id="32"/>
    <w:p>
      <w:pPr>
        <w:spacing w:after="0"/>
        <w:ind w:left="0"/>
        <w:jc w:val="both"/>
      </w:pPr>
      <w:r>
        <w:rPr>
          <w:rFonts w:ascii="Times New Roman"/>
          <w:b w:val="false"/>
          <w:i w:val="false"/>
          <w:color w:val="000000"/>
          <w:sz w:val="28"/>
        </w:rPr>
        <w:t>
      нормативы допустимых физических воздействий на атмосферный воздух.</w:t>
      </w:r>
    </w:p>
    <w:bookmarkEnd w:id="32"/>
    <w:bookmarkStart w:name="z39" w:id="33"/>
    <w:p>
      <w:pPr>
        <w:spacing w:after="0"/>
        <w:ind w:left="0"/>
        <w:jc w:val="left"/>
      </w:pPr>
      <w:r>
        <w:rPr>
          <w:rFonts w:ascii="Times New Roman"/>
          <w:b/>
          <w:i w:val="false"/>
          <w:color w:val="000000"/>
        </w:rPr>
        <w:t xml:space="preserve"> Параграф 1. Нормативы допустимых выбросов</w:t>
      </w:r>
    </w:p>
    <w:bookmarkEnd w:id="33"/>
    <w:bookmarkStart w:name="z40" w:id="34"/>
    <w:p>
      <w:pPr>
        <w:spacing w:after="0"/>
        <w:ind w:left="0"/>
        <w:jc w:val="both"/>
      </w:pPr>
      <w:r>
        <w:rPr>
          <w:rFonts w:ascii="Times New Roman"/>
          <w:b w:val="false"/>
          <w:i w:val="false"/>
          <w:color w:val="000000"/>
          <w:sz w:val="28"/>
        </w:rPr>
        <w:t xml:space="preserve">
      4. Определение нормативов допустимых выбросов осуществляется в соответствии с требованиями Кодекса и Методики определения нормативов эмиссии в окружающую среду,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 22317).</w:t>
      </w:r>
    </w:p>
    <w:bookmarkEnd w:id="34"/>
    <w:bookmarkStart w:name="z41" w:id="35"/>
    <w:p>
      <w:pPr>
        <w:spacing w:after="0"/>
        <w:ind w:left="0"/>
        <w:jc w:val="left"/>
      </w:pPr>
      <w:r>
        <w:rPr>
          <w:rFonts w:ascii="Times New Roman"/>
          <w:b/>
          <w:i w:val="false"/>
          <w:color w:val="000000"/>
        </w:rPr>
        <w:t xml:space="preserve"> Параграф 2. Технологические нормативы выбросов</w:t>
      </w:r>
    </w:p>
    <w:bookmarkEnd w:id="35"/>
    <w:bookmarkStart w:name="z42" w:id="36"/>
    <w:p>
      <w:pPr>
        <w:spacing w:after="0"/>
        <w:ind w:left="0"/>
        <w:jc w:val="both"/>
      </w:pPr>
      <w:r>
        <w:rPr>
          <w:rFonts w:ascii="Times New Roman"/>
          <w:b w:val="false"/>
          <w:i w:val="false"/>
          <w:color w:val="000000"/>
          <w:sz w:val="28"/>
        </w:rPr>
        <w:t>
      5. Технологические нормативы выбросов устанавливаются в комплексном экологическом разрешении и не превышают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36"/>
    <w:bookmarkStart w:name="z43" w:id="37"/>
    <w:p>
      <w:pPr>
        <w:spacing w:after="0"/>
        <w:ind w:left="0"/>
        <w:jc w:val="both"/>
      </w:pPr>
      <w:r>
        <w:rPr>
          <w:rFonts w:ascii="Times New Roman"/>
          <w:b w:val="false"/>
          <w:i w:val="false"/>
          <w:color w:val="000000"/>
          <w:sz w:val="28"/>
        </w:rPr>
        <w:t>
      6. Обоснование технологических нормативов выбросов обеспечивается в проекте технологических нормативов, предоставляемый в уполномоченный орган в области охраны окружающей среды оператором объекта вместе с заявлением на получение комплексного экологического разрешения посредством веб-портала "электронного правительства" www.egov.kz.</w:t>
      </w:r>
    </w:p>
    <w:bookmarkEnd w:id="37"/>
    <w:bookmarkStart w:name="z44" w:id="38"/>
    <w:p>
      <w:pPr>
        <w:spacing w:after="0"/>
        <w:ind w:left="0"/>
        <w:jc w:val="both"/>
      </w:pPr>
      <w:r>
        <w:rPr>
          <w:rFonts w:ascii="Times New Roman"/>
          <w:b w:val="false"/>
          <w:i w:val="false"/>
          <w:color w:val="000000"/>
          <w:sz w:val="28"/>
        </w:rPr>
        <w:t xml:space="preserve">
      7. Проект технологических нормативов для объектов технологического нормирования содержит: </w:t>
      </w:r>
    </w:p>
    <w:bookmarkEnd w:id="38"/>
    <w:bookmarkStart w:name="z45" w:id="39"/>
    <w:p>
      <w:pPr>
        <w:spacing w:after="0"/>
        <w:ind w:left="0"/>
        <w:jc w:val="both"/>
      </w:pPr>
      <w:r>
        <w:rPr>
          <w:rFonts w:ascii="Times New Roman"/>
          <w:b w:val="false"/>
          <w:i w:val="false"/>
          <w:color w:val="000000"/>
          <w:sz w:val="28"/>
        </w:rPr>
        <w:t xml:space="preserve">
      раздел, в котором определяются объекты технологического нормирования и маркерные загрязняющие вещества; </w:t>
      </w:r>
    </w:p>
    <w:bookmarkEnd w:id="39"/>
    <w:bookmarkStart w:name="z46" w:id="40"/>
    <w:p>
      <w:pPr>
        <w:spacing w:after="0"/>
        <w:ind w:left="0"/>
        <w:jc w:val="both"/>
      </w:pPr>
      <w:r>
        <w:rPr>
          <w:rFonts w:ascii="Times New Roman"/>
          <w:b w:val="false"/>
          <w:i w:val="false"/>
          <w:color w:val="000000"/>
          <w:sz w:val="28"/>
        </w:rPr>
        <w:t xml:space="preserve">
      раздел, в котором проводится анализ объектов технологического нормирования; </w:t>
      </w:r>
    </w:p>
    <w:bookmarkEnd w:id="40"/>
    <w:bookmarkStart w:name="z47" w:id="41"/>
    <w:p>
      <w:pPr>
        <w:spacing w:after="0"/>
        <w:ind w:left="0"/>
        <w:jc w:val="both"/>
      </w:pPr>
      <w:r>
        <w:rPr>
          <w:rFonts w:ascii="Times New Roman"/>
          <w:b w:val="false"/>
          <w:i w:val="false"/>
          <w:color w:val="000000"/>
          <w:sz w:val="28"/>
        </w:rPr>
        <w:t>
      раздел, в котором определяются технологические нормативы выбросов.</w:t>
      </w:r>
    </w:p>
    <w:bookmarkEnd w:id="41"/>
    <w:bookmarkStart w:name="z48" w:id="42"/>
    <w:p>
      <w:pPr>
        <w:spacing w:after="0"/>
        <w:ind w:left="0"/>
        <w:jc w:val="both"/>
      </w:pPr>
      <w:r>
        <w:rPr>
          <w:rFonts w:ascii="Times New Roman"/>
          <w:b w:val="false"/>
          <w:i w:val="false"/>
          <w:color w:val="000000"/>
          <w:sz w:val="28"/>
        </w:rPr>
        <w:t xml:space="preserve">
      8. Определение объектов технологического нормирования и маркерных веществ осуществляется посредством анализа имеющейся технической документации, регламентирующей проведение технологических операций (проектная (конструкторская) документация, технологические регламенты, руководства (инструкции) по эксплуатации, схемы, технические условия и другая эксплуатационная документация) по производству продукции, выполнению работ, оказанию услуг, и ее сравнения с соответствующими справочниками и заключениями по наилучшим доступным техникам. </w:t>
      </w:r>
    </w:p>
    <w:bookmarkEnd w:id="42"/>
    <w:bookmarkStart w:name="z49" w:id="43"/>
    <w:p>
      <w:pPr>
        <w:spacing w:after="0"/>
        <w:ind w:left="0"/>
        <w:jc w:val="both"/>
      </w:pPr>
      <w:r>
        <w:rPr>
          <w:rFonts w:ascii="Times New Roman"/>
          <w:b w:val="false"/>
          <w:i w:val="false"/>
          <w:color w:val="000000"/>
          <w:sz w:val="28"/>
        </w:rPr>
        <w:t xml:space="preserve">
      9. Результатом определения объектов технологического нормирования и маркерных веществ являются: </w:t>
      </w:r>
    </w:p>
    <w:bookmarkEnd w:id="43"/>
    <w:bookmarkStart w:name="z50" w:id="44"/>
    <w:p>
      <w:pPr>
        <w:spacing w:after="0"/>
        <w:ind w:left="0"/>
        <w:jc w:val="both"/>
      </w:pPr>
      <w:r>
        <w:rPr>
          <w:rFonts w:ascii="Times New Roman"/>
          <w:b w:val="false"/>
          <w:i w:val="false"/>
          <w:color w:val="000000"/>
          <w:sz w:val="28"/>
        </w:rPr>
        <w:t xml:space="preserve">
      выявленные объекты технологического нормирования; </w:t>
      </w:r>
    </w:p>
    <w:bookmarkEnd w:id="44"/>
    <w:bookmarkStart w:name="z51" w:id="45"/>
    <w:p>
      <w:pPr>
        <w:spacing w:after="0"/>
        <w:ind w:left="0"/>
        <w:jc w:val="both"/>
      </w:pPr>
      <w:r>
        <w:rPr>
          <w:rFonts w:ascii="Times New Roman"/>
          <w:b w:val="false"/>
          <w:i w:val="false"/>
          <w:color w:val="000000"/>
          <w:sz w:val="28"/>
        </w:rPr>
        <w:t xml:space="preserve">
      маркерные загрязняющие вещества, образующиеся на объектах технологического нормирования; </w:t>
      </w:r>
    </w:p>
    <w:bookmarkEnd w:id="45"/>
    <w:bookmarkStart w:name="z52" w:id="46"/>
    <w:p>
      <w:pPr>
        <w:spacing w:after="0"/>
        <w:ind w:left="0"/>
        <w:jc w:val="both"/>
      </w:pPr>
      <w:r>
        <w:rPr>
          <w:rFonts w:ascii="Times New Roman"/>
          <w:b w:val="false"/>
          <w:i w:val="false"/>
          <w:color w:val="000000"/>
          <w:sz w:val="28"/>
        </w:rPr>
        <w:t xml:space="preserve">
      уровни эмиссий (выбросов) маркерных загрязняющих веществ для каждого объекта технологического нормирования и объекта в целом. </w:t>
      </w:r>
    </w:p>
    <w:bookmarkEnd w:id="46"/>
    <w:bookmarkStart w:name="z53" w:id="47"/>
    <w:p>
      <w:pPr>
        <w:spacing w:after="0"/>
        <w:ind w:left="0"/>
        <w:jc w:val="both"/>
      </w:pPr>
      <w:r>
        <w:rPr>
          <w:rFonts w:ascii="Times New Roman"/>
          <w:b w:val="false"/>
          <w:i w:val="false"/>
          <w:color w:val="000000"/>
          <w:sz w:val="28"/>
        </w:rPr>
        <w:t xml:space="preserve">
      10. Анализ объектов технологического нормирования включает определение применяемых на объекте техник, количественных и качественных характеристик выбросов. </w:t>
      </w:r>
    </w:p>
    <w:bookmarkEnd w:id="47"/>
    <w:bookmarkStart w:name="z54" w:id="48"/>
    <w:p>
      <w:pPr>
        <w:spacing w:after="0"/>
        <w:ind w:left="0"/>
        <w:jc w:val="both"/>
      </w:pPr>
      <w:r>
        <w:rPr>
          <w:rFonts w:ascii="Times New Roman"/>
          <w:b w:val="false"/>
          <w:i w:val="false"/>
          <w:color w:val="000000"/>
          <w:sz w:val="28"/>
        </w:rPr>
        <w:t>
      Для действующих объектов, оказывающих антропогенное воздействие на окружающую среду, анализ проводится с использованием технической документации, результатов производственного экологического контроля за несколько лет, но не более пяти лет, предшествующих году, в котором представляется заявление на получение комплексного экологического разрешения. При несоответствии существующих показателей выбросам технологических показателей, связанным с применением наилучших доступных техник по конкретным областям их применения, установленным в заключениях по наилучшим доступным техникам, в рамках анализа дополнительно определяются планируемые показатели выбросов в соответствии с программой повышения экологической эффективности.</w:t>
      </w:r>
    </w:p>
    <w:bookmarkEnd w:id="48"/>
    <w:bookmarkStart w:name="z55" w:id="49"/>
    <w:p>
      <w:pPr>
        <w:spacing w:after="0"/>
        <w:ind w:left="0"/>
        <w:jc w:val="both"/>
      </w:pPr>
      <w:r>
        <w:rPr>
          <w:rFonts w:ascii="Times New Roman"/>
          <w:b w:val="false"/>
          <w:i w:val="false"/>
          <w:color w:val="000000"/>
          <w:sz w:val="28"/>
        </w:rPr>
        <w:t xml:space="preserve">
      Для планируемых к вводу в эксплуатацию объектов, оказывающих антропогенное воздействие на окружающую среду, анализ осуществляется с использованием данных проектной документации на строительство, реконструкцию и эксплуатацию объекта. </w:t>
      </w:r>
    </w:p>
    <w:bookmarkEnd w:id="49"/>
    <w:bookmarkStart w:name="z56" w:id="50"/>
    <w:p>
      <w:pPr>
        <w:spacing w:after="0"/>
        <w:ind w:left="0"/>
        <w:jc w:val="both"/>
      </w:pPr>
      <w:r>
        <w:rPr>
          <w:rFonts w:ascii="Times New Roman"/>
          <w:b w:val="false"/>
          <w:i w:val="false"/>
          <w:color w:val="000000"/>
          <w:sz w:val="28"/>
        </w:rPr>
        <w:t xml:space="preserve">
      11. Определение технологических нормативов выбросов включает соответствующие обоснования и расчеты. Обоснования приводятся в справочниках по наилучшим доступным техникам, расчеты производятся исходя из количества выпуска предполагаемой продукции. </w:t>
      </w:r>
    </w:p>
    <w:bookmarkEnd w:id="50"/>
    <w:bookmarkStart w:name="z57" w:id="51"/>
    <w:p>
      <w:pPr>
        <w:spacing w:after="0"/>
        <w:ind w:left="0"/>
        <w:jc w:val="left"/>
      </w:pPr>
      <w:r>
        <w:rPr>
          <w:rFonts w:ascii="Times New Roman"/>
          <w:b/>
          <w:i w:val="false"/>
          <w:color w:val="000000"/>
        </w:rPr>
        <w:t xml:space="preserve"> Параграф 3. Нормативы допустимых физических воздействий на атмосферный воздух</w:t>
      </w:r>
    </w:p>
    <w:bookmarkEnd w:id="51"/>
    <w:bookmarkStart w:name="z58" w:id="52"/>
    <w:p>
      <w:pPr>
        <w:spacing w:after="0"/>
        <w:ind w:left="0"/>
        <w:jc w:val="both"/>
      </w:pPr>
      <w:r>
        <w:rPr>
          <w:rFonts w:ascii="Times New Roman"/>
          <w:b w:val="false"/>
          <w:i w:val="false"/>
          <w:color w:val="000000"/>
          <w:sz w:val="28"/>
        </w:rPr>
        <w:t>
      12. Нормативы допустимых физических воздействий на атмосферный воздух устанавливаются для каждого источника и объекта в целом в виде допустимых уровней воздействия тепла, шума, вибрации, ионизирующего излучения, величины электромагнитных полей (напряженности, плотности потока энергий, либо их суммарного значения) и иных физических воздействий на атмосферный воздух, при которых вредное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атмосферный воздух.</w:t>
      </w:r>
    </w:p>
    <w:bookmarkEnd w:id="52"/>
    <w:bookmarkStart w:name="z59" w:id="53"/>
    <w:p>
      <w:pPr>
        <w:spacing w:after="0"/>
        <w:ind w:left="0"/>
        <w:jc w:val="both"/>
      </w:pPr>
      <w:r>
        <w:rPr>
          <w:rFonts w:ascii="Times New Roman"/>
          <w:b w:val="false"/>
          <w:i w:val="false"/>
          <w:color w:val="000000"/>
          <w:sz w:val="28"/>
        </w:rPr>
        <w:t>
      13. Уровни физического воздействия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w:t>
      </w:r>
    </w:p>
    <w:bookmarkEnd w:id="53"/>
    <w:bookmarkStart w:name="z60" w:id="54"/>
    <w:p>
      <w:pPr>
        <w:spacing w:after="0"/>
        <w:ind w:left="0"/>
        <w:jc w:val="both"/>
      </w:pPr>
      <w:r>
        <w:rPr>
          <w:rFonts w:ascii="Times New Roman"/>
          <w:b w:val="false"/>
          <w:i w:val="false"/>
          <w:color w:val="000000"/>
          <w:sz w:val="28"/>
        </w:rPr>
        <w:t>
      14. Нормативы допустимых физических воздействий устанавливаются для объектов I и II категорий, на уровнях, не превышающих:</w:t>
      </w:r>
    </w:p>
    <w:bookmarkEnd w:id="54"/>
    <w:bookmarkStart w:name="z61" w:id="55"/>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подпунктом 3) пункта 2 </w:t>
      </w:r>
      <w:r>
        <w:rPr>
          <w:rFonts w:ascii="Times New Roman"/>
          <w:b w:val="false"/>
          <w:i w:val="false"/>
          <w:color w:val="000000"/>
          <w:sz w:val="28"/>
        </w:rPr>
        <w:t>статьи 76</w:t>
      </w:r>
      <w:r>
        <w:rPr>
          <w:rFonts w:ascii="Times New Roman"/>
          <w:b w:val="false"/>
          <w:i w:val="false"/>
          <w:color w:val="000000"/>
          <w:sz w:val="28"/>
        </w:rPr>
        <w:t xml:space="preserve"> Кодекса;</w:t>
      </w:r>
    </w:p>
    <w:bookmarkEnd w:id="55"/>
    <w:bookmarkStart w:name="z62" w:id="56"/>
    <w:p>
      <w:pPr>
        <w:spacing w:after="0"/>
        <w:ind w:left="0"/>
        <w:jc w:val="both"/>
      </w:pPr>
      <w:r>
        <w:rPr>
          <w:rFonts w:ascii="Times New Roman"/>
          <w:b w:val="false"/>
          <w:i w:val="false"/>
          <w:color w:val="000000"/>
          <w:sz w:val="28"/>
        </w:rPr>
        <w:t xml:space="preserve">
      2) в случае проведения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подпунктом 9) пункта 2 </w:t>
      </w:r>
      <w:r>
        <w:rPr>
          <w:rFonts w:ascii="Times New Roman"/>
          <w:b w:val="false"/>
          <w:i w:val="false"/>
          <w:color w:val="000000"/>
          <w:sz w:val="28"/>
        </w:rPr>
        <w:t>статьи 68</w:t>
      </w:r>
      <w:r>
        <w:rPr>
          <w:rFonts w:ascii="Times New Roman"/>
          <w:b w:val="false"/>
          <w:i w:val="false"/>
          <w:color w:val="000000"/>
          <w:sz w:val="28"/>
        </w:rPr>
        <w:t xml:space="preserve"> Кодекса.</w:t>
      </w:r>
    </w:p>
    <w:bookmarkEnd w:id="56"/>
    <w:bookmarkStart w:name="z63" w:id="57"/>
    <w:p>
      <w:pPr>
        <w:spacing w:after="0"/>
        <w:ind w:left="0"/>
        <w:jc w:val="both"/>
      </w:pPr>
      <w:r>
        <w:rPr>
          <w:rFonts w:ascii="Times New Roman"/>
          <w:b w:val="false"/>
          <w:i w:val="false"/>
          <w:color w:val="000000"/>
          <w:sz w:val="28"/>
        </w:rPr>
        <w:t xml:space="preserve">
      Для действующих объектов нормативы допустимых физических воздействий устанавливаются на уровнях, установленных в заявлении на получение комплексного экологического разрешения. </w:t>
      </w:r>
    </w:p>
    <w:bookmarkEnd w:id="57"/>
    <w:bookmarkStart w:name="z64" w:id="58"/>
    <w:p>
      <w:pPr>
        <w:spacing w:after="0"/>
        <w:ind w:left="0"/>
        <w:jc w:val="both"/>
      </w:pPr>
      <w:r>
        <w:rPr>
          <w:rFonts w:ascii="Times New Roman"/>
          <w:b w:val="false"/>
          <w:i w:val="false"/>
          <w:color w:val="000000"/>
          <w:sz w:val="28"/>
        </w:rPr>
        <w:t xml:space="preserve">
      Для объектов, в отношении которых выдается комплексное экологическое разрешение, нормативы допустимых физических воздействий устанавливаются на уровнях, не превышающих соответствующих технологических показателей. </w:t>
      </w:r>
    </w:p>
    <w:bookmarkEnd w:id="58"/>
    <w:bookmarkStart w:name="z65" w:id="59"/>
    <w:p>
      <w:pPr>
        <w:spacing w:after="0"/>
        <w:ind w:left="0"/>
        <w:jc w:val="both"/>
      </w:pPr>
      <w:r>
        <w:rPr>
          <w:rFonts w:ascii="Times New Roman"/>
          <w:b w:val="false"/>
          <w:i w:val="false"/>
          <w:color w:val="000000"/>
          <w:sz w:val="28"/>
        </w:rPr>
        <w:t xml:space="preserve">
      15. Нормативы допустимых физических воздействий определяются оператором самостоятельно при наличии собственной аккредитованной лаборатории либо при ее отсутствии с привлечением сторонних специализированных организаций (аккредитованных лабораторий). </w:t>
      </w:r>
    </w:p>
    <w:bookmarkEnd w:id="59"/>
    <w:bookmarkStart w:name="z66" w:id="60"/>
    <w:p>
      <w:pPr>
        <w:spacing w:after="0"/>
        <w:ind w:left="0"/>
        <w:jc w:val="both"/>
      </w:pPr>
      <w:r>
        <w:rPr>
          <w:rFonts w:ascii="Times New Roman"/>
          <w:b w:val="false"/>
          <w:i w:val="false"/>
          <w:color w:val="000000"/>
          <w:sz w:val="28"/>
        </w:rPr>
        <w:t xml:space="preserve">
      16. Нормативы допустимых физических воздействий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допустимых физических воздействий, который разрабатывается к соответствующей проектной документации намечаемой деятельности и предоставляется вместе с заявлением на получение экологического разрешения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