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d84" w14:textId="2bfa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27 марта 2020 года № 157 "Об утверждении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17 сентября 2021 года № 499. Зарегистрирован в Министерстве юстиции Республики Казахстан 23 сентября 2021 года № 24474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марта 2020 года № 157 "Об утверждении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 (зарегистрирован в Реестре государственной регистрации нормативных правовых актов под № 20187)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договора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Типовой договор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договор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Сумма субсидирования должна быть предусмотрена по республиканской бюджетной программе "Субсидирование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 (далее – Субсидирование).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перевозчика на выплату части ставки купонного вознаграждения пересматриваются ежегодно с учетом финансового положения перевозчика и субсидируются в пределах суммы, предусмотренной республиканским бюджетом на соответствующий год.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Договора допускается пересмотр объемов субсидий, в пределах средств, предусмотренных соответствующим бюджетом на соответствующий год.".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инфраструктурного развития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