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379a" w14:textId="d133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19 ноября 2021 года № ҚР ДСМ-119. Зарегистрирован в Министерстве юстиции Республики Казахстан 19 ноября 2021 года № 25247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w:t>
      </w:r>
      <w:r>
        <w:rPr>
          <w:rFonts w:ascii="Times New Roman"/>
          <w:b w:val="false"/>
          <w:i w:val="false"/>
          <w:color w:val="000000"/>
          <w:sz w:val="28"/>
        </w:rPr>
        <w:t>подпунктом 64)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3"/>
    <w:bookmarkStart w:name="z9" w:id="4"/>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bookmarkEnd w:id="5"/>
    <w:bookmarkStart w:name="z13" w:id="6"/>
    <w:p>
      <w:pPr>
        <w:spacing w:after="0"/>
        <w:ind w:left="0"/>
        <w:jc w:val="both"/>
      </w:pPr>
      <w:r>
        <w:rPr>
          <w:rFonts w:ascii="Times New Roman"/>
          <w:b w:val="false"/>
          <w:i w:val="false"/>
          <w:color w:val="000000"/>
          <w:sz w:val="28"/>
        </w:rPr>
        <w:t>
      ПНгар.СП = (ПНбаз.СПРК х ПВКСП + ПНбаз.СПРК х (Кплотн.регион. - 1) + ПНбаз.СПРК х (Котопит.обл. - 1) + ПНбаз.СПРК х (Ксельск.обл. - 1) + ПНбаз.СПРК х (Кэколог - 1)) хКрегион, где:</w:t>
      </w:r>
    </w:p>
    <w:bookmarkEnd w:id="6"/>
    <w:bookmarkStart w:name="z14" w:id="7"/>
    <w:p>
      <w:pPr>
        <w:spacing w:after="0"/>
        <w:ind w:left="0"/>
        <w:jc w:val="both"/>
      </w:pPr>
      <w:r>
        <w:rPr>
          <w:rFonts w:ascii="Times New Roman"/>
          <w:b w:val="false"/>
          <w:i w:val="false"/>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bookmarkEnd w:id="7"/>
    <w:bookmarkStart w:name="z15" w:id="8"/>
    <w:p>
      <w:pPr>
        <w:spacing w:after="0"/>
        <w:ind w:left="0"/>
        <w:jc w:val="both"/>
      </w:pPr>
      <w:r>
        <w:rPr>
          <w:rFonts w:ascii="Times New Roman"/>
          <w:b w:val="false"/>
          <w:i w:val="false"/>
          <w:color w:val="000000"/>
          <w:sz w:val="28"/>
        </w:rPr>
        <w:t>
      ПНбаз. СПРК = ПНсред. СПРК / (ПВКРК + (Кплот.регионРК – 1) + (Котопит.РК – 1) + (Ксельск.РК – 1) + (КэкологРК – 1)), где:</w:t>
      </w:r>
    </w:p>
    <w:bookmarkEnd w:id="8"/>
    <w:bookmarkStart w:name="z16" w:id="9"/>
    <w:p>
      <w:pPr>
        <w:spacing w:after="0"/>
        <w:ind w:left="0"/>
        <w:jc w:val="both"/>
      </w:pPr>
      <w:r>
        <w:rPr>
          <w:rFonts w:ascii="Times New Roman"/>
          <w:b w:val="false"/>
          <w:i w:val="false"/>
          <w:color w:val="000000"/>
          <w:sz w:val="28"/>
        </w:rPr>
        <w:t>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bookmarkEnd w:id="9"/>
    <w:bookmarkStart w:name="z17" w:id="10"/>
    <w:p>
      <w:pPr>
        <w:spacing w:after="0"/>
        <w:ind w:left="0"/>
        <w:jc w:val="both"/>
      </w:pPr>
      <w:r>
        <w:rPr>
          <w:rFonts w:ascii="Times New Roman"/>
          <w:b w:val="false"/>
          <w:i w:val="false"/>
          <w:color w:val="000000"/>
          <w:sz w:val="28"/>
        </w:rPr>
        <w:t>
      ПНсред СПРК = VСП_рк/Чрк / m, где:</w:t>
      </w:r>
    </w:p>
    <w:bookmarkEnd w:id="10"/>
    <w:bookmarkStart w:name="z18" w:id="11"/>
    <w:p>
      <w:pPr>
        <w:spacing w:after="0"/>
        <w:ind w:left="0"/>
        <w:jc w:val="both"/>
      </w:pPr>
      <w:r>
        <w:rPr>
          <w:rFonts w:ascii="Times New Roman"/>
          <w:b w:val="false"/>
          <w:i w:val="false"/>
          <w:color w:val="000000"/>
          <w:sz w:val="28"/>
        </w:rPr>
        <w:t>
      V СПРК – плановый годовой объем финансирования по Республике Казахстан на оказание СП населению;</w:t>
      </w:r>
    </w:p>
    <w:bookmarkEnd w:id="11"/>
    <w:bookmarkStart w:name="z19" w:id="12"/>
    <w:p>
      <w:pPr>
        <w:spacing w:after="0"/>
        <w:ind w:left="0"/>
        <w:jc w:val="both"/>
      </w:pPr>
      <w:r>
        <w:rPr>
          <w:rFonts w:ascii="Times New Roman"/>
          <w:b w:val="false"/>
          <w:i w:val="false"/>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2"/>
    <w:bookmarkStart w:name="z20" w:id="1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13"/>
    <w:bookmarkStart w:name="z21" w:id="14"/>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bookmarkEnd w:id="14"/>
    <w:bookmarkStart w:name="z22" w:id="15"/>
    <w:p>
      <w:pPr>
        <w:spacing w:after="0"/>
        <w:ind w:left="0"/>
        <w:jc w:val="both"/>
      </w:pPr>
      <w:r>
        <w:rPr>
          <w:rFonts w:ascii="Times New Roman"/>
          <w:b w:val="false"/>
          <w:i w:val="false"/>
          <w:color w:val="000000"/>
          <w:sz w:val="28"/>
        </w:rPr>
        <w:t>
      Кплотн.регион – коэффициент плотности населения по данной области, который определяется по формуле:</w:t>
      </w:r>
    </w:p>
    <w:bookmarkEnd w:id="15"/>
    <w:bookmarkStart w:name="z23" w:id="16"/>
    <w:p>
      <w:pPr>
        <w:spacing w:after="0"/>
        <w:ind w:left="0"/>
        <w:jc w:val="both"/>
      </w:pPr>
      <w:r>
        <w:rPr>
          <w:rFonts w:ascii="Times New Roman"/>
          <w:b w:val="false"/>
          <w:i w:val="false"/>
          <w:color w:val="000000"/>
          <w:sz w:val="28"/>
        </w:rPr>
        <w:t>
      Кплотн.регион = 1 + В х Пнас РК.сред/Пнас обл., где:</w:t>
      </w:r>
    </w:p>
    <w:bookmarkEnd w:id="16"/>
    <w:bookmarkStart w:name="z24" w:id="17"/>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bookmarkEnd w:id="17"/>
    <w:bookmarkStart w:name="z25" w:id="18"/>
    <w:p>
      <w:pPr>
        <w:spacing w:after="0"/>
        <w:ind w:left="0"/>
        <w:jc w:val="both"/>
      </w:pPr>
      <w:r>
        <w:rPr>
          <w:rFonts w:ascii="Times New Roman"/>
          <w:b w:val="false"/>
          <w:i w:val="false"/>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18"/>
    <w:bookmarkStart w:name="z26" w:id="19"/>
    <w:p>
      <w:pPr>
        <w:spacing w:after="0"/>
        <w:ind w:left="0"/>
        <w:jc w:val="both"/>
      </w:pPr>
      <w:r>
        <w:rPr>
          <w:rFonts w:ascii="Times New Roman"/>
          <w:b w:val="false"/>
          <w:i w:val="false"/>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bookmarkEnd w:id="19"/>
    <w:bookmarkStart w:name="z27" w:id="20"/>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 коэффициент плотности населения равен 1.</w:t>
      </w:r>
    </w:p>
    <w:bookmarkEnd w:id="20"/>
    <w:bookmarkStart w:name="z28" w:id="21"/>
    <w:p>
      <w:pPr>
        <w:spacing w:after="0"/>
        <w:ind w:left="0"/>
        <w:jc w:val="both"/>
      </w:pPr>
      <w:r>
        <w:rPr>
          <w:rFonts w:ascii="Times New Roman"/>
          <w:b w:val="false"/>
          <w:i w:val="false"/>
          <w:color w:val="000000"/>
          <w:sz w:val="28"/>
        </w:rPr>
        <w:t>
      ПВКРК = (ПВКобл 1 + ПВКобл 2 + ... + ПВКобл i)/ЧРК</w:t>
      </w:r>
    </w:p>
    <w:bookmarkEnd w:id="21"/>
    <w:bookmarkStart w:name="z29" w:id="22"/>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22"/>
    <w:bookmarkStart w:name="z30" w:id="23"/>
    <w:p>
      <w:pPr>
        <w:spacing w:after="0"/>
        <w:ind w:left="0"/>
        <w:jc w:val="both"/>
      </w:pPr>
      <w:r>
        <w:rPr>
          <w:rFonts w:ascii="Times New Roman"/>
          <w:b w:val="false"/>
          <w:i w:val="false"/>
          <w:color w:val="000000"/>
          <w:sz w:val="28"/>
        </w:rPr>
        <w:t>
      ПВКобл = (Чобл k/n х ПВКПМСП(n))/Чобл, где:</w:t>
      </w:r>
    </w:p>
    <w:bookmarkEnd w:id="23"/>
    <w:bookmarkStart w:name="z31" w:id="24"/>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24"/>
    <w:bookmarkStart w:name="z32" w:id="25"/>
    <w:p>
      <w:pPr>
        <w:spacing w:after="0"/>
        <w:ind w:left="0"/>
        <w:jc w:val="both"/>
      </w:pPr>
      <w:r>
        <w:rPr>
          <w:rFonts w:ascii="Times New Roman"/>
          <w:b w:val="false"/>
          <w:i w:val="false"/>
          <w:color w:val="000000"/>
          <w:sz w:val="28"/>
        </w:rPr>
        <w:t>
      Чоблk/n – численность прикрепленного населения региона, зарегистрированная в ИС "РПН" номер k населения, попадающего в половозрастную группу номер n;</w:t>
      </w:r>
    </w:p>
    <w:bookmarkEnd w:id="25"/>
    <w:bookmarkStart w:name="z33" w:id="26"/>
    <w:p>
      <w:pPr>
        <w:spacing w:after="0"/>
        <w:ind w:left="0"/>
        <w:jc w:val="both"/>
      </w:pPr>
      <w:r>
        <w:rPr>
          <w:rFonts w:ascii="Times New Roman"/>
          <w:b w:val="false"/>
          <w:i w:val="false"/>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bookmarkEnd w:id="26"/>
    <w:bookmarkStart w:name="z34" w:id="27"/>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здравоохранения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bookmarkEnd w:id="27"/>
    <w:bookmarkStart w:name="z35" w:id="28"/>
    <w:p>
      <w:pPr>
        <w:spacing w:after="0"/>
        <w:ind w:left="0"/>
        <w:jc w:val="both"/>
      </w:pPr>
      <w:r>
        <w:rPr>
          <w:rFonts w:ascii="Times New Roman"/>
          <w:b w:val="false"/>
          <w:i w:val="false"/>
          <w:color w:val="000000"/>
          <w:sz w:val="28"/>
        </w:rPr>
        <w:t>
      Котопит.РК– средний коэффициент учета продолжительности отопительного сезона по Республике Казахстан, который определяется по формуле:</w:t>
      </w:r>
    </w:p>
    <w:bookmarkEnd w:id="28"/>
    <w:bookmarkStart w:name="z36" w:id="29"/>
    <w:p>
      <w:pPr>
        <w:spacing w:after="0"/>
        <w:ind w:left="0"/>
        <w:jc w:val="both"/>
      </w:pPr>
      <w:r>
        <w:rPr>
          <w:rFonts w:ascii="Times New Roman"/>
          <w:b w:val="false"/>
          <w:i w:val="false"/>
          <w:color w:val="000000"/>
          <w:sz w:val="28"/>
        </w:rPr>
        <w:t>
      Котопит.РК = (Котопит.обл. 1 + Котопит.обл. 2 + … + Котопит.обл. i)/ЧРК</w:t>
      </w:r>
    </w:p>
    <w:bookmarkEnd w:id="29"/>
    <w:bookmarkStart w:name="z37" w:id="30"/>
    <w:p>
      <w:pPr>
        <w:spacing w:after="0"/>
        <w:ind w:left="0"/>
        <w:jc w:val="both"/>
      </w:pPr>
      <w:r>
        <w:rPr>
          <w:rFonts w:ascii="Times New Roman"/>
          <w:b w:val="false"/>
          <w:i w:val="false"/>
          <w:color w:val="000000"/>
          <w:sz w:val="28"/>
        </w:rPr>
        <w:t>
      Котопит.обл. = 1 + Дотопит. х (Побл. - ПРК/сред. )/ПРК/сред., где:</w:t>
      </w:r>
    </w:p>
    <w:bookmarkEnd w:id="30"/>
    <w:bookmarkStart w:name="z38" w:id="31"/>
    <w:p>
      <w:pPr>
        <w:spacing w:after="0"/>
        <w:ind w:left="0"/>
        <w:jc w:val="both"/>
      </w:pPr>
      <w:r>
        <w:rPr>
          <w:rFonts w:ascii="Times New Roman"/>
          <w:b w:val="false"/>
          <w:i w:val="false"/>
          <w:color w:val="000000"/>
          <w:sz w:val="28"/>
        </w:rPr>
        <w:t>
      Котопит.обл. – коэффициент учета продолжительности отопительного сезона для области;</w:t>
      </w:r>
    </w:p>
    <w:bookmarkEnd w:id="31"/>
    <w:bookmarkStart w:name="z39" w:id="32"/>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bookmarkEnd w:id="32"/>
    <w:bookmarkStart w:name="z40" w:id="33"/>
    <w:p>
      <w:pPr>
        <w:spacing w:after="0"/>
        <w:ind w:left="0"/>
        <w:jc w:val="both"/>
      </w:pPr>
      <w:r>
        <w:rPr>
          <w:rFonts w:ascii="Times New Roman"/>
          <w:b w:val="false"/>
          <w:i w:val="false"/>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bookmarkEnd w:id="33"/>
    <w:bookmarkStart w:name="z41" w:id="34"/>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bookmarkEnd w:id="34"/>
    <w:bookmarkStart w:name="z42" w:id="35"/>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35"/>
    <w:bookmarkStart w:name="z43" w:id="36"/>
    <w:p>
      <w:pPr>
        <w:spacing w:after="0"/>
        <w:ind w:left="0"/>
        <w:jc w:val="both"/>
      </w:pPr>
      <w:r>
        <w:rPr>
          <w:rFonts w:ascii="Times New Roman"/>
          <w:b w:val="false"/>
          <w:i w:val="false"/>
          <w:color w:val="000000"/>
          <w:sz w:val="28"/>
        </w:rPr>
        <w:t>
      Ксельск.РК = (Ксельск.обл. 1 + Ксельск.обл. 2 + … + Ксельск.обл. i)/ЧРК</w:t>
      </w:r>
    </w:p>
    <w:bookmarkEnd w:id="36"/>
    <w:bookmarkStart w:name="z44" w:id="37"/>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37"/>
    <w:bookmarkStart w:name="z45" w:id="38"/>
    <w:p>
      <w:pPr>
        <w:spacing w:after="0"/>
        <w:ind w:left="0"/>
        <w:jc w:val="both"/>
      </w:pPr>
      <w:r>
        <w:rPr>
          <w:rFonts w:ascii="Times New Roman"/>
          <w:b w:val="false"/>
          <w:i w:val="false"/>
          <w:color w:val="000000"/>
          <w:sz w:val="28"/>
        </w:rPr>
        <w:t>
      Ксельск.обл. = 1+0,25 х (Чсело/ Чобл. х ДОсело), где:</w:t>
      </w:r>
    </w:p>
    <w:bookmarkEnd w:id="38"/>
    <w:bookmarkStart w:name="z46" w:id="39"/>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39"/>
    <w:bookmarkStart w:name="z47" w:id="40"/>
    <w:p>
      <w:pPr>
        <w:spacing w:after="0"/>
        <w:ind w:left="0"/>
        <w:jc w:val="both"/>
      </w:pPr>
      <w:r>
        <w:rPr>
          <w:rFonts w:ascii="Times New Roman"/>
          <w:b w:val="false"/>
          <w:i w:val="false"/>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bookmarkEnd w:id="40"/>
    <w:bookmarkStart w:name="z48" w:id="41"/>
    <w:p>
      <w:pPr>
        <w:spacing w:after="0"/>
        <w:ind w:left="0"/>
        <w:jc w:val="both"/>
      </w:pPr>
      <w:r>
        <w:rPr>
          <w:rFonts w:ascii="Times New Roman"/>
          <w:b w:val="false"/>
          <w:i w:val="false"/>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bookmarkEnd w:id="41"/>
    <w:bookmarkStart w:name="z49" w:id="42"/>
    <w:p>
      <w:pPr>
        <w:spacing w:after="0"/>
        <w:ind w:left="0"/>
        <w:jc w:val="both"/>
      </w:pPr>
      <w:r>
        <w:rPr>
          <w:rFonts w:ascii="Times New Roman"/>
          <w:b w:val="false"/>
          <w:i w:val="false"/>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bookmarkEnd w:id="42"/>
    <w:bookmarkStart w:name="z50" w:id="43"/>
    <w:p>
      <w:pPr>
        <w:spacing w:after="0"/>
        <w:ind w:left="0"/>
        <w:jc w:val="both"/>
      </w:pPr>
      <w:r>
        <w:rPr>
          <w:rFonts w:ascii="Times New Roman"/>
          <w:b w:val="false"/>
          <w:i w:val="false"/>
          <w:color w:val="000000"/>
          <w:sz w:val="28"/>
        </w:rPr>
        <w:t>
      Кэколог. = (Vсп + Vэкол.) / Vсп</w:t>
      </w:r>
    </w:p>
    <w:bookmarkEnd w:id="43"/>
    <w:bookmarkStart w:name="z51" w:id="44"/>
    <w:p>
      <w:pPr>
        <w:spacing w:after="0"/>
        <w:ind w:left="0"/>
        <w:jc w:val="both"/>
      </w:pPr>
      <w:r>
        <w:rPr>
          <w:rFonts w:ascii="Times New Roman"/>
          <w:b w:val="false"/>
          <w:i w:val="false"/>
          <w:color w:val="000000"/>
          <w:sz w:val="28"/>
        </w:rPr>
        <w:t>
      Vсп – объем финансирования на очередной плановый период для субъекта здравоохранения, оказывающего скорую медицинскую помощь;</w:t>
      </w:r>
    </w:p>
    <w:bookmarkEnd w:id="44"/>
    <w:bookmarkStart w:name="z52" w:id="45"/>
    <w:p>
      <w:pPr>
        <w:spacing w:after="0"/>
        <w:ind w:left="0"/>
        <w:jc w:val="both"/>
      </w:pPr>
      <w:r>
        <w:rPr>
          <w:rFonts w:ascii="Times New Roman"/>
          <w:b w:val="false"/>
          <w:i w:val="false"/>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45"/>
    <w:bookmarkStart w:name="z53" w:id="46"/>
    <w:p>
      <w:pPr>
        <w:spacing w:after="0"/>
        <w:ind w:left="0"/>
        <w:jc w:val="both"/>
      </w:pPr>
      <w:r>
        <w:rPr>
          <w:rFonts w:ascii="Times New Roman"/>
          <w:b w:val="false"/>
          <w:i w:val="false"/>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46"/>
    <w:bookmarkStart w:name="z54" w:id="47"/>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47"/>
    <w:bookmarkStart w:name="z55"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56" w:id="4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9"/>
    <w:bookmarkStart w:name="z57" w:id="5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0"/>
    <w:bookmarkStart w:name="z58" w:id="5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1"/>
    <w:bookmarkStart w:name="z59" w:id="5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ноября 2021 года.</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bookmarkStart w:name="z61" w:id="53"/>
      <w:r>
        <w:rPr>
          <w:rFonts w:ascii="Times New Roman"/>
          <w:b w:val="false"/>
          <w:i w:val="false"/>
          <w:color w:val="000000"/>
          <w:sz w:val="28"/>
        </w:rPr>
        <w:t>
      "СОГЛАСОВАНО"</w:t>
      </w:r>
    </w:p>
    <w:bookmarkEnd w:id="5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