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93bf" w14:textId="1cf93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регулирования банковской, страховой деятельности и рынка ценных бумаг</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13 декабря 2021 года № 107. Зарегистрировано в Министерстве юстиции Республики Казахстан 23 декабря 2021 года № 25932</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нормативных правовых актов Республики Казахстан по вопросам регулирования банковской, страховой деятельности и рынка ценных бумаг, в которые вносятся изменения,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w:t>
            </w:r>
          </w:p>
          <w:p>
            <w:pPr>
              <w:spacing w:after="0"/>
              <w:ind w:left="0"/>
              <w:jc w:val="left"/>
            </w:pPr>
          </w:p>
          <w:p>
            <w:pPr>
              <w:spacing w:after="20"/>
              <w:ind w:left="20"/>
              <w:jc w:val="both"/>
            </w:pPr>
            <w:r>
              <w:rPr>
                <w:rFonts w:ascii="Times New Roman"/>
                <w:b w:val="false"/>
                <w:i/>
                <w:color w:val="000000"/>
                <w:sz w:val="20"/>
              </w:rPr>
              <w:t xml:space="preserve">и развитию финансового рынка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13 декабря 2021 года № 107</w:t>
            </w:r>
          </w:p>
        </w:tc>
      </w:tr>
    </w:tbl>
    <w:bookmarkStart w:name="z15" w:id="9"/>
    <w:p>
      <w:pPr>
        <w:spacing w:after="0"/>
        <w:ind w:left="0"/>
        <w:jc w:val="left"/>
      </w:pPr>
      <w:r>
        <w:rPr>
          <w:rFonts w:ascii="Times New Roman"/>
          <w:b/>
          <w:i w:val="false"/>
          <w:color w:val="000000"/>
        </w:rPr>
        <w:t xml:space="preserve"> Перечень некоторых нормативных правовых актов Республики Казахстан по вопросам регулирования банковской, страховой деятельности и рынка ценных бумаг, в которые вносятся изменения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307 "Об установлении пруденциальных нормативов для Национального оператора почты" (зарегистрировано в Реестре государственной регистрации нормативных правовых актов под № 14786) следующие изменения:</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"3. В расчет высоколиквидных активов включаются:</w:t>
      </w:r>
    </w:p>
    <w:bookmarkEnd w:id="11"/>
    <w:bookmarkStart w:name="z19" w:id="12"/>
    <w:p>
      <w:pPr>
        <w:spacing w:after="0"/>
        <w:ind w:left="0"/>
        <w:jc w:val="both"/>
      </w:pPr>
      <w:r>
        <w:rPr>
          <w:rFonts w:ascii="Times New Roman"/>
          <w:b w:val="false"/>
          <w:i w:val="false"/>
          <w:color w:val="000000"/>
          <w:sz w:val="28"/>
        </w:rPr>
        <w:t>
      1) деньги, в том числе:</w:t>
      </w:r>
    </w:p>
    <w:bookmarkEnd w:id="12"/>
    <w:bookmarkStart w:name="z20" w:id="13"/>
    <w:p>
      <w:pPr>
        <w:spacing w:after="0"/>
        <w:ind w:left="0"/>
        <w:jc w:val="both"/>
      </w:pPr>
      <w:r>
        <w:rPr>
          <w:rFonts w:ascii="Times New Roman"/>
          <w:b w:val="false"/>
          <w:i w:val="false"/>
          <w:color w:val="000000"/>
          <w:sz w:val="28"/>
        </w:rPr>
        <w:t>
      деньги в кассе, не более 10 (десяти) процентов от суммы активов по балансу Национального оператора почты;</w:t>
      </w:r>
    </w:p>
    <w:bookmarkEnd w:id="13"/>
    <w:bookmarkStart w:name="z21" w:id="14"/>
    <w:p>
      <w:pPr>
        <w:spacing w:after="0"/>
        <w:ind w:left="0"/>
        <w:jc w:val="both"/>
      </w:pPr>
      <w:r>
        <w:rPr>
          <w:rFonts w:ascii="Times New Roman"/>
          <w:b w:val="false"/>
          <w:i w:val="false"/>
          <w:color w:val="000000"/>
          <w:sz w:val="28"/>
        </w:rPr>
        <w:t>
      деньги на текущих счетах в банках второго уровня Республики Казахстан;</w:t>
      </w:r>
    </w:p>
    <w:bookmarkEnd w:id="14"/>
    <w:bookmarkStart w:name="z22" w:id="15"/>
    <w:p>
      <w:pPr>
        <w:spacing w:after="0"/>
        <w:ind w:left="0"/>
        <w:jc w:val="both"/>
      </w:pPr>
      <w:r>
        <w:rPr>
          <w:rFonts w:ascii="Times New Roman"/>
          <w:b w:val="false"/>
          <w:i w:val="false"/>
          <w:color w:val="000000"/>
          <w:sz w:val="28"/>
        </w:rPr>
        <w:t>
      деньги на счетах в центральном депозитарии;</w:t>
      </w:r>
    </w:p>
    <w:bookmarkEnd w:id="15"/>
    <w:bookmarkStart w:name="z23" w:id="16"/>
    <w:p>
      <w:pPr>
        <w:spacing w:after="0"/>
        <w:ind w:left="0"/>
        <w:jc w:val="both"/>
      </w:pPr>
      <w:r>
        <w:rPr>
          <w:rFonts w:ascii="Times New Roman"/>
          <w:b w:val="false"/>
          <w:i w:val="false"/>
          <w:color w:val="000000"/>
          <w:sz w:val="28"/>
        </w:rPr>
        <w:t>
      деньги Национального оператора почты,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bookmarkEnd w:id="16"/>
    <w:bookmarkStart w:name="z24" w:id="17"/>
    <w:p>
      <w:pPr>
        <w:spacing w:after="0"/>
        <w:ind w:left="0"/>
        <w:jc w:val="both"/>
      </w:pPr>
      <w:r>
        <w:rPr>
          <w:rFonts w:ascii="Times New Roman"/>
          <w:b w:val="false"/>
          <w:i w:val="false"/>
          <w:color w:val="000000"/>
          <w:sz w:val="28"/>
        </w:rPr>
        <w:t>
      деньги на текущих счетах в банках-нерезидентах Республики Казахстан, имеющих долгосрочный и (или) краткосрочный, индивидуальный рейтинг не ниже категории "ВВВ-" по международной шкале агентства Standard &amp; Poor’s (Стандард энд Пурс) или рейтинговую оценку аналогичного уровня рейтинговых агентств Moody’s Investors Service (Мудис Инвесторс Сервис), Fitch (Фич) или их дочерних рейтинговых организаций (далее - другие рейтинговые агентства);</w:t>
      </w:r>
    </w:p>
    <w:bookmarkEnd w:id="17"/>
    <w:bookmarkStart w:name="z25" w:id="18"/>
    <w:p>
      <w:pPr>
        <w:spacing w:after="0"/>
        <w:ind w:left="0"/>
        <w:jc w:val="both"/>
      </w:pPr>
      <w:r>
        <w:rPr>
          <w:rFonts w:ascii="Times New Roman"/>
          <w:b w:val="false"/>
          <w:i w:val="false"/>
          <w:color w:val="000000"/>
          <w:sz w:val="28"/>
        </w:rPr>
        <w:t>
      деньги на счетах в организациях-нерезидентах Республики Казахстан, предоставляющих банковские услуги организациям для осуществления операций на организованном рынке ценных бумаг;</w:t>
      </w:r>
    </w:p>
    <w:bookmarkEnd w:id="18"/>
    <w:bookmarkStart w:name="z26" w:id="19"/>
    <w:p>
      <w:pPr>
        <w:spacing w:after="0"/>
        <w:ind w:left="0"/>
        <w:jc w:val="both"/>
      </w:pPr>
      <w:r>
        <w:rPr>
          <w:rFonts w:ascii="Times New Roman"/>
          <w:b w:val="false"/>
          <w:i w:val="false"/>
          <w:color w:val="000000"/>
          <w:sz w:val="28"/>
        </w:rPr>
        <w:t>
      2) государственные ценные бумаги Республики Казахстан (включая эмитированные в соответствии с законодательством других государств);</w:t>
      </w:r>
    </w:p>
    <w:bookmarkEnd w:id="19"/>
    <w:bookmarkStart w:name="z27" w:id="20"/>
    <w:p>
      <w:pPr>
        <w:spacing w:after="0"/>
        <w:ind w:left="0"/>
        <w:jc w:val="both"/>
      </w:pPr>
      <w:r>
        <w:rPr>
          <w:rFonts w:ascii="Times New Roman"/>
          <w:b w:val="false"/>
          <w:i w:val="false"/>
          <w:color w:val="000000"/>
          <w:sz w:val="28"/>
        </w:rPr>
        <w:t>
      3) депозиты до востребования в Национальном Банке Республики Казахстан, в банках второго уровня Республики Казахстан;</w:t>
      </w:r>
    </w:p>
    <w:bookmarkEnd w:id="20"/>
    <w:bookmarkStart w:name="z28" w:id="21"/>
    <w:p>
      <w:pPr>
        <w:spacing w:after="0"/>
        <w:ind w:left="0"/>
        <w:jc w:val="both"/>
      </w:pPr>
      <w:r>
        <w:rPr>
          <w:rFonts w:ascii="Times New Roman"/>
          <w:b w:val="false"/>
          <w:i w:val="false"/>
          <w:color w:val="000000"/>
          <w:sz w:val="28"/>
        </w:rPr>
        <w:t>
      4) акции юридических лиц Республики Казахстан, имеющих долгосрочный кредитный рейтинг не ниже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 по национальной шкале Standard &amp; Poor’s (Стандард энд Пурс),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за вычетом резервов на возможные потери;</w:t>
      </w:r>
    </w:p>
    <w:bookmarkEnd w:id="21"/>
    <w:bookmarkStart w:name="z29" w:id="22"/>
    <w:p>
      <w:pPr>
        <w:spacing w:after="0"/>
        <w:ind w:left="0"/>
        <w:jc w:val="both"/>
      </w:pPr>
      <w:r>
        <w:rPr>
          <w:rFonts w:ascii="Times New Roman"/>
          <w:b w:val="false"/>
          <w:i w:val="false"/>
          <w:color w:val="000000"/>
          <w:sz w:val="28"/>
        </w:rPr>
        <w:t>
      5)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категорию "долговые ценные бумаги с рейтинговой оценкой" не ниже "В" по международной шкале агентства Standard &amp; Poor’s (Стандард энд Пурс) или рейтинговой оценкой аналогичного уровня одного из других рейтинговых агентств, или рейтинговой оценкой не ниже "kzBВ" по национальной шкале Standard &amp; Poor’s (Стандард энд Пурс) (с учетом сумм основного долга и начисленного вознаграждения), за вычетом резервов на возможные потери;</w:t>
      </w:r>
    </w:p>
    <w:bookmarkEnd w:id="22"/>
    <w:bookmarkStart w:name="z30" w:id="23"/>
    <w:p>
      <w:pPr>
        <w:spacing w:after="0"/>
        <w:ind w:left="0"/>
        <w:jc w:val="both"/>
      </w:pPr>
      <w:r>
        <w:rPr>
          <w:rFonts w:ascii="Times New Roman"/>
          <w:b w:val="false"/>
          <w:i w:val="false"/>
          <w:color w:val="000000"/>
          <w:sz w:val="28"/>
        </w:rPr>
        <w:t>
      6)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bookmarkEnd w:id="23"/>
    <w:bookmarkStart w:name="z31" w:id="24"/>
    <w:p>
      <w:pPr>
        <w:spacing w:after="0"/>
        <w:ind w:left="0"/>
        <w:jc w:val="both"/>
      </w:pPr>
      <w:r>
        <w:rPr>
          <w:rFonts w:ascii="Times New Roman"/>
          <w:b w:val="false"/>
          <w:i w:val="false"/>
          <w:color w:val="000000"/>
          <w:sz w:val="28"/>
        </w:rPr>
        <w:t>
      7) негосударственные долговые ценные бумаги иностранных эмитентов, имеющие рейтинговую оценку не ниже "ВВB-" по международной шкале агентства Standard &amp; Poor’s (Стандард энд Пурс)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bookmarkEnd w:id="24"/>
    <w:bookmarkStart w:name="z32" w:id="25"/>
    <w:p>
      <w:pPr>
        <w:spacing w:after="0"/>
        <w:ind w:left="0"/>
        <w:jc w:val="both"/>
      </w:pPr>
      <w:r>
        <w:rPr>
          <w:rFonts w:ascii="Times New Roman"/>
          <w:b w:val="false"/>
          <w:i w:val="false"/>
          <w:color w:val="000000"/>
          <w:sz w:val="28"/>
        </w:rPr>
        <w:t>
      8) акции иностранных эмитентов, имеющих рейтинговую оценку не ниже "ВВВ-" по международной шкале агентства Standard &amp; Poor’s (Стандард энд Пурс) или рейтинговую оценку аналогичного уровня одного из других рейтинговых агентств, и депозитарные расписки, базовым активом которых являются данные акции, за вычетом резервов на возможные потери;</w:t>
      </w:r>
    </w:p>
    <w:bookmarkEnd w:id="25"/>
    <w:bookmarkStart w:name="z33" w:id="26"/>
    <w:p>
      <w:pPr>
        <w:spacing w:after="0"/>
        <w:ind w:left="0"/>
        <w:jc w:val="both"/>
      </w:pPr>
      <w:r>
        <w:rPr>
          <w:rFonts w:ascii="Times New Roman"/>
          <w:b w:val="false"/>
          <w:i w:val="false"/>
          <w:color w:val="000000"/>
          <w:sz w:val="28"/>
        </w:rPr>
        <w:t>
      9)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bookmarkEnd w:id="26"/>
    <w:bookmarkStart w:name="z34" w:id="27"/>
    <w:p>
      <w:pPr>
        <w:spacing w:after="0"/>
        <w:ind w:left="0"/>
        <w:jc w:val="both"/>
      </w:pPr>
      <w:r>
        <w:rPr>
          <w:rFonts w:ascii="Times New Roman"/>
          <w:b w:val="false"/>
          <w:i w:val="false"/>
          <w:color w:val="000000"/>
          <w:sz w:val="28"/>
        </w:rPr>
        <w:t>
      10)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bookmarkEnd w:id="27"/>
    <w:bookmarkStart w:name="z35" w:id="28"/>
    <w:p>
      <w:pPr>
        <w:spacing w:after="0"/>
        <w:ind w:left="0"/>
        <w:jc w:val="both"/>
      </w:pPr>
      <w:r>
        <w:rPr>
          <w:rFonts w:ascii="Times New Roman"/>
          <w:b w:val="false"/>
          <w:i w:val="false"/>
          <w:color w:val="000000"/>
          <w:sz w:val="28"/>
        </w:rPr>
        <w:t>
      11) аффинированные драгоценные металлы и металлические депозиты;</w:t>
      </w:r>
    </w:p>
    <w:bookmarkEnd w:id="28"/>
    <w:bookmarkStart w:name="z36" w:id="29"/>
    <w:p>
      <w:pPr>
        <w:spacing w:after="0"/>
        <w:ind w:left="0"/>
        <w:jc w:val="both"/>
      </w:pPr>
      <w:r>
        <w:rPr>
          <w:rFonts w:ascii="Times New Roman"/>
          <w:b w:val="false"/>
          <w:i w:val="false"/>
          <w:color w:val="000000"/>
          <w:sz w:val="28"/>
        </w:rPr>
        <w:t>
      12) инструменты исламского финансирования с рейтинговой оценкой ценной бумаги и (или) эмитента не ниже "B" по международной шкале агентства Standard &amp; Poor’s (Стандард энд Пурс) или рейтинговой оценкой аналогичного уровня одного из других рейтинговых агентств;</w:t>
      </w:r>
    </w:p>
    <w:bookmarkEnd w:id="29"/>
    <w:bookmarkStart w:name="z37" w:id="30"/>
    <w:p>
      <w:pPr>
        <w:spacing w:after="0"/>
        <w:ind w:left="0"/>
        <w:jc w:val="both"/>
      </w:pPr>
      <w:r>
        <w:rPr>
          <w:rFonts w:ascii="Times New Roman"/>
          <w:b w:val="false"/>
          <w:i w:val="false"/>
          <w:color w:val="000000"/>
          <w:sz w:val="28"/>
        </w:rPr>
        <w:t>
      13) инструменты исламского финансирования исламского банка при соблюдении следующих условий:</w:t>
      </w:r>
    </w:p>
    <w:bookmarkEnd w:id="30"/>
    <w:bookmarkStart w:name="z38" w:id="31"/>
    <w:p>
      <w:pPr>
        <w:spacing w:after="0"/>
        <w:ind w:left="0"/>
        <w:jc w:val="both"/>
      </w:pPr>
      <w:r>
        <w:rPr>
          <w:rFonts w:ascii="Times New Roman"/>
          <w:b w:val="false"/>
          <w:i w:val="false"/>
          <w:color w:val="000000"/>
          <w:sz w:val="28"/>
        </w:rPr>
        <w:t>
      наличие у организации, являющейся крупным акционером исламского банка, рейтинговой оценки не ниже "BВ+" по международной шкале агентства Standard &amp; Poor’s (Стандард энд Пурс) или рейтинговой оценки аналогичного уровня одного из других рейтинговых агентств;</w:t>
      </w:r>
    </w:p>
    <w:bookmarkEnd w:id="31"/>
    <w:bookmarkStart w:name="z39" w:id="32"/>
    <w:p>
      <w:pPr>
        <w:spacing w:after="0"/>
        <w:ind w:left="0"/>
        <w:jc w:val="both"/>
      </w:pPr>
      <w:r>
        <w:rPr>
          <w:rFonts w:ascii="Times New Roman"/>
          <w:b w:val="false"/>
          <w:i w:val="false"/>
          <w:color w:val="000000"/>
          <w:sz w:val="28"/>
        </w:rPr>
        <w:t>
      выполнение требований по соблюдению пруденциальных нормативов, установленных для исламского банка в соответствии с банковским законодательством Республики Казахстан;</w:t>
      </w:r>
    </w:p>
    <w:bookmarkEnd w:id="32"/>
    <w:bookmarkStart w:name="z40" w:id="33"/>
    <w:p>
      <w:pPr>
        <w:spacing w:after="0"/>
        <w:ind w:left="0"/>
        <w:jc w:val="both"/>
      </w:pPr>
      <w:r>
        <w:rPr>
          <w:rFonts w:ascii="Times New Roman"/>
          <w:b w:val="false"/>
          <w:i w:val="false"/>
          <w:color w:val="000000"/>
          <w:sz w:val="28"/>
        </w:rPr>
        <w:t>
      14) ценные бумаги, являющиеся предметом операции обратного репо;</w:t>
      </w:r>
    </w:p>
    <w:bookmarkEnd w:id="33"/>
    <w:bookmarkStart w:name="z41" w:id="34"/>
    <w:p>
      <w:pPr>
        <w:spacing w:after="0"/>
        <w:ind w:left="0"/>
        <w:jc w:val="both"/>
      </w:pPr>
      <w:r>
        <w:rPr>
          <w:rFonts w:ascii="Times New Roman"/>
          <w:b w:val="false"/>
          <w:i w:val="false"/>
          <w:color w:val="000000"/>
          <w:sz w:val="28"/>
        </w:rPr>
        <w:t>
      15) дебиторская задолженность по операциям обратного репо, заключенным автоматическим способом со сроком погашения до 1 (одного) месяца;</w:t>
      </w:r>
    </w:p>
    <w:bookmarkEnd w:id="34"/>
    <w:bookmarkStart w:name="z42" w:id="35"/>
    <w:p>
      <w:pPr>
        <w:spacing w:after="0"/>
        <w:ind w:left="0"/>
        <w:jc w:val="both"/>
      </w:pPr>
      <w:r>
        <w:rPr>
          <w:rFonts w:ascii="Times New Roman"/>
          <w:b w:val="false"/>
          <w:i w:val="false"/>
          <w:color w:val="000000"/>
          <w:sz w:val="28"/>
        </w:rPr>
        <w:t>
      16) сумма требований по операциям валютный своп, учитываемых на балансовых счетах Национального оператора почты, в случае если обязательства по данным сделкам учитываются на балансовых счетах Национального оператора почты и включены в расчет требования к ликвидности Национального оператора почты.";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исключить.</w:t>
      </w:r>
    </w:p>
    <w:bookmarkStart w:name="z44" w:id="3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 ноября 2017 года № 208 "О мерах, принимаемых крупным участником управляющего инвестиционным портфелем по поддержанию коэффициентов достаточности собственного капитала управляющего инвестиционным портфелем" (зарегистрировано в Реестре государственной регистрации нормативных правовых актов под № 16040) следующие изменения: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46" w:id="3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49 Закона Республики Казахстан "О рынке ценных бумаг" (далее – Закон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8" w:id="38"/>
    <w:p>
      <w:pPr>
        <w:spacing w:after="0"/>
        <w:ind w:left="0"/>
        <w:jc w:val="both"/>
      </w:pPr>
      <w:r>
        <w:rPr>
          <w:rFonts w:ascii="Times New Roman"/>
          <w:b w:val="false"/>
          <w:i w:val="false"/>
          <w:color w:val="000000"/>
          <w:sz w:val="28"/>
        </w:rPr>
        <w:t>
      "1. Установить следующие меры по поддержанию крупным участником управляющего инвестиционным портфелем коэффициента достаточности собственного капитала управляющего инвестиционным портфелем (далее - Управляющий):</w:t>
      </w:r>
    </w:p>
    <w:bookmarkEnd w:id="38"/>
    <w:bookmarkStart w:name="z49" w:id="39"/>
    <w:p>
      <w:pPr>
        <w:spacing w:after="0"/>
        <w:ind w:left="0"/>
        <w:jc w:val="both"/>
      </w:pPr>
      <w:r>
        <w:rPr>
          <w:rFonts w:ascii="Times New Roman"/>
          <w:b w:val="false"/>
          <w:i w:val="false"/>
          <w:color w:val="000000"/>
          <w:sz w:val="28"/>
        </w:rPr>
        <w:t>
      1) разработка и утверждение крупным участником Управляющего, являющимся юридическим лицом, внутренних документов, устанавливающих обязательные для соблюдения крупным участником условия и порядок применения мер по поддержанию коэффициента достаточности собственного капитала Управляющего;</w:t>
      </w:r>
    </w:p>
    <w:bookmarkEnd w:id="39"/>
    <w:bookmarkStart w:name="z50" w:id="40"/>
    <w:p>
      <w:pPr>
        <w:spacing w:after="0"/>
        <w:ind w:left="0"/>
        <w:jc w:val="both"/>
      </w:pPr>
      <w:r>
        <w:rPr>
          <w:rFonts w:ascii="Times New Roman"/>
          <w:b w:val="false"/>
          <w:i w:val="false"/>
          <w:color w:val="000000"/>
          <w:sz w:val="28"/>
        </w:rPr>
        <w:t xml:space="preserve">
      2) постоянное обеспечение необходимого значения коэффициента достаточности собственного капитала Управляющего, установленного абзацем вторым пункта 1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27 апреля 2018 года № 79 "Об установлении видов пруденциальных нормативов для организаций, осуществляющих деятельность по управлению инвестиционным портфелем, утверждении правил и методики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(зарегистрировано в Реестре государственной регистрации нормативных правовых актов под № 17008) (далее - постановление № 79);</w:t>
      </w:r>
    </w:p>
    <w:bookmarkEnd w:id="40"/>
    <w:bookmarkStart w:name="z51" w:id="41"/>
    <w:p>
      <w:pPr>
        <w:spacing w:after="0"/>
        <w:ind w:left="0"/>
        <w:jc w:val="both"/>
      </w:pPr>
      <w:r>
        <w:rPr>
          <w:rFonts w:ascii="Times New Roman"/>
          <w:b w:val="false"/>
          <w:i w:val="false"/>
          <w:color w:val="000000"/>
          <w:sz w:val="28"/>
        </w:rPr>
        <w:t xml:space="preserve">
      3) оперативное обеспечение необходимого значения коэффициентов достаточности собственного капитала Управляющего, установленного абзацем вторым пункта 1 </w:t>
      </w:r>
      <w:r>
        <w:rPr>
          <w:rFonts w:ascii="Times New Roman"/>
          <w:b w:val="false"/>
          <w:i w:val="false"/>
          <w:color w:val="000000"/>
          <w:sz w:val="28"/>
        </w:rPr>
        <w:t>постановления № 79</w:t>
      </w:r>
      <w:r>
        <w:rPr>
          <w:rFonts w:ascii="Times New Roman"/>
          <w:b w:val="false"/>
          <w:i w:val="false"/>
          <w:color w:val="000000"/>
          <w:sz w:val="28"/>
        </w:rPr>
        <w:t>.</w:t>
      </w:r>
    </w:p>
    <w:bookmarkEnd w:id="41"/>
    <w:bookmarkStart w:name="z52" w:id="42"/>
    <w:p>
      <w:pPr>
        <w:spacing w:after="0"/>
        <w:ind w:left="0"/>
        <w:jc w:val="both"/>
      </w:pPr>
      <w:r>
        <w:rPr>
          <w:rFonts w:ascii="Times New Roman"/>
          <w:b w:val="false"/>
          <w:i w:val="false"/>
          <w:color w:val="000000"/>
          <w:sz w:val="28"/>
        </w:rPr>
        <w:t>
      2. Меры постоянного обеспечения необходимого значения коэффициентов достаточности собственного капитала Управляющего предусматривают:</w:t>
      </w:r>
    </w:p>
    <w:bookmarkEnd w:id="42"/>
    <w:bookmarkStart w:name="z53" w:id="43"/>
    <w:p>
      <w:pPr>
        <w:spacing w:after="0"/>
        <w:ind w:left="0"/>
        <w:jc w:val="both"/>
      </w:pPr>
      <w:r>
        <w:rPr>
          <w:rFonts w:ascii="Times New Roman"/>
          <w:b w:val="false"/>
          <w:i w:val="false"/>
          <w:color w:val="000000"/>
          <w:sz w:val="28"/>
        </w:rPr>
        <w:t>
      1) ежеквартальную оценку финансового состояния Управляющего на основе анализа ежеквартальной финансовой отчетности Управляющего с целью проверки соблюдения пруденциальных нормативов, установленных в отношении Управляющего, а также оценку рисков, влияющих на снижение коэффициентов достаточности собственного капитала Управляющего;</w:t>
      </w:r>
    </w:p>
    <w:bookmarkEnd w:id="43"/>
    <w:bookmarkStart w:name="z54" w:id="44"/>
    <w:p>
      <w:pPr>
        <w:spacing w:after="0"/>
        <w:ind w:left="0"/>
        <w:jc w:val="both"/>
      </w:pPr>
      <w:r>
        <w:rPr>
          <w:rFonts w:ascii="Times New Roman"/>
          <w:b w:val="false"/>
          <w:i w:val="false"/>
          <w:color w:val="000000"/>
          <w:sz w:val="28"/>
        </w:rPr>
        <w:t>
      2) ежеквартальную оценку прогнозных значений достаточности собственного капитала Управляющего;</w:t>
      </w:r>
    </w:p>
    <w:bookmarkEnd w:id="44"/>
    <w:bookmarkStart w:name="z55" w:id="45"/>
    <w:p>
      <w:pPr>
        <w:spacing w:after="0"/>
        <w:ind w:left="0"/>
        <w:jc w:val="both"/>
      </w:pPr>
      <w:r>
        <w:rPr>
          <w:rFonts w:ascii="Times New Roman"/>
          <w:b w:val="false"/>
          <w:i w:val="false"/>
          <w:color w:val="000000"/>
          <w:sz w:val="28"/>
        </w:rPr>
        <w:t xml:space="preserve">
      3) ежегодный контроль за обеспечением эффективности функционирования системы управления рисками Управляющего, в том числе оценки соответствия указанных систем требованиям, установленным </w:t>
      </w:r>
      <w:r>
        <w:rPr>
          <w:rFonts w:ascii="Times New Roman"/>
          <w:b w:val="false"/>
          <w:i w:val="false"/>
          <w:color w:val="000000"/>
          <w:sz w:val="28"/>
        </w:rPr>
        <w:t>статьей 49-1</w:t>
      </w:r>
      <w:r>
        <w:rPr>
          <w:rFonts w:ascii="Times New Roman"/>
          <w:b w:val="false"/>
          <w:i w:val="false"/>
          <w:color w:val="000000"/>
          <w:sz w:val="28"/>
        </w:rPr>
        <w:t xml:space="preserve"> "Закона о рынке ценных бумаг";</w:t>
      </w:r>
    </w:p>
    <w:bookmarkEnd w:id="45"/>
    <w:bookmarkStart w:name="z56" w:id="46"/>
    <w:p>
      <w:pPr>
        <w:spacing w:after="0"/>
        <w:ind w:left="0"/>
        <w:jc w:val="both"/>
      </w:pPr>
      <w:r>
        <w:rPr>
          <w:rFonts w:ascii="Times New Roman"/>
          <w:b w:val="false"/>
          <w:i w:val="false"/>
          <w:color w:val="000000"/>
          <w:sz w:val="28"/>
        </w:rPr>
        <w:t>
      4) ежегодный контроль наличия у Управляющего процедур, определяющих необходимость применения мер оперативного обеспечения, предусмотренных в пункте 3 настоящего постановления;</w:t>
      </w:r>
    </w:p>
    <w:bookmarkEnd w:id="46"/>
    <w:bookmarkStart w:name="z57" w:id="47"/>
    <w:p>
      <w:pPr>
        <w:spacing w:after="0"/>
        <w:ind w:left="0"/>
        <w:jc w:val="both"/>
      </w:pPr>
      <w:r>
        <w:rPr>
          <w:rFonts w:ascii="Times New Roman"/>
          <w:b w:val="false"/>
          <w:i w:val="false"/>
          <w:color w:val="000000"/>
          <w:sz w:val="28"/>
        </w:rPr>
        <w:t>
      5) ежеквартальный контроль соблюдения Управляющим обязательств по заключенным с клиентами договорам на управление активами, а также политики инвестирования собственных активов;</w:t>
      </w:r>
    </w:p>
    <w:bookmarkEnd w:id="47"/>
    <w:bookmarkStart w:name="z58" w:id="48"/>
    <w:p>
      <w:pPr>
        <w:spacing w:after="0"/>
        <w:ind w:left="0"/>
        <w:jc w:val="both"/>
      </w:pPr>
      <w:r>
        <w:rPr>
          <w:rFonts w:ascii="Times New Roman"/>
          <w:b w:val="false"/>
          <w:i w:val="false"/>
          <w:color w:val="000000"/>
          <w:sz w:val="28"/>
        </w:rPr>
        <w:t xml:space="preserve">
      6) принятие мер, предусмотренных планом рекапитализации Управляющего в случае возможного ухудшения финансового положения Управляющего, составленным в соответствии с Правилами выдачи, отзыва согласия на приобретение статуса крупного участника банка, банковского холдинга, крупного участника страховой (перестраховочной) организации, страхового холдинга, крупного участника управляющего инвестиционным портфелем и требованиями к документам, представляемым для получения указанного согласия,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февраля 2012 года № 67, зарегистрированным в Реестре государственной регистрации нормативных правовых актов под № 7552.".</w:t>
      </w:r>
    </w:p>
    <w:bookmarkEnd w:id="48"/>
    <w:bookmarkStart w:name="z59" w:id="49"/>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2018 года № 198 "Об утверждении Правил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 (зарегистрировано в Реестре государственной регистрации нормативных правовых актов под № 17462) следующие изменения:</w:t>
      </w:r>
    </w:p>
    <w:bookmarkEnd w:id="49"/>
    <w:bookmarkStart w:name="z60"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системы управления рисками и внутреннего контроля для страховых (перестраховочных) организаций, филиалов страховых (перестраховочных) организаций-нерезидентов Республики Казахстан, утвержденных указанным постановлением:</w:t>
      </w:r>
    </w:p>
    <w:bookmarkEnd w:id="50"/>
    <w:bookmarkStart w:name="z61"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63" w:id="52"/>
    <w:p>
      <w:pPr>
        <w:spacing w:after="0"/>
        <w:ind w:left="0"/>
        <w:jc w:val="both"/>
      </w:pPr>
      <w:r>
        <w:rPr>
          <w:rFonts w:ascii="Times New Roman"/>
          <w:b w:val="false"/>
          <w:i w:val="false"/>
          <w:color w:val="000000"/>
          <w:sz w:val="28"/>
        </w:rPr>
        <w:t>
      "8. Положение о сроках и формах представления управленческой отчетности разрабатывается правлением и регламентирует порядок представления правлением и подразделением по управлению рисками совету директоров и акционерам организации управленческой отчетности, в том числе:</w:t>
      </w:r>
    </w:p>
    <w:bookmarkEnd w:id="52"/>
    <w:bookmarkStart w:name="z64" w:id="53"/>
    <w:p>
      <w:pPr>
        <w:spacing w:after="0"/>
        <w:ind w:left="0"/>
        <w:jc w:val="both"/>
      </w:pPr>
      <w:r>
        <w:rPr>
          <w:rFonts w:ascii="Times New Roman"/>
          <w:b w:val="false"/>
          <w:i w:val="false"/>
          <w:color w:val="000000"/>
          <w:sz w:val="28"/>
        </w:rPr>
        <w:t>
      отчет о прибылях и убытках (в том числе в сравнении с предыдущим периодом прошлых лет и запланированные показатели деятельности);</w:t>
      </w:r>
    </w:p>
    <w:bookmarkEnd w:id="53"/>
    <w:bookmarkStart w:name="z65" w:id="54"/>
    <w:p>
      <w:pPr>
        <w:spacing w:after="0"/>
        <w:ind w:left="0"/>
        <w:jc w:val="both"/>
      </w:pPr>
      <w:r>
        <w:rPr>
          <w:rFonts w:ascii="Times New Roman"/>
          <w:b w:val="false"/>
          <w:i w:val="false"/>
          <w:color w:val="000000"/>
          <w:sz w:val="28"/>
        </w:rPr>
        <w:t>
      отчеты об инвестициях (с группировкой финансовых инструментов по видам, с указанием балансовой и рыночной стоимости, доходности, общей суммы покупок и продаж);</w:t>
      </w:r>
    </w:p>
    <w:bookmarkEnd w:id="54"/>
    <w:bookmarkStart w:name="z66" w:id="55"/>
    <w:p>
      <w:pPr>
        <w:spacing w:after="0"/>
        <w:ind w:left="0"/>
        <w:jc w:val="both"/>
      </w:pPr>
      <w:r>
        <w:rPr>
          <w:rFonts w:ascii="Times New Roman"/>
          <w:b w:val="false"/>
          <w:i w:val="false"/>
          <w:color w:val="000000"/>
          <w:sz w:val="28"/>
        </w:rPr>
        <w:t>
      отчет о сравнении объема активов и обязательств;</w:t>
      </w:r>
    </w:p>
    <w:bookmarkEnd w:id="55"/>
    <w:bookmarkStart w:name="z67" w:id="56"/>
    <w:p>
      <w:pPr>
        <w:spacing w:after="0"/>
        <w:ind w:left="0"/>
        <w:jc w:val="both"/>
      </w:pPr>
      <w:r>
        <w:rPr>
          <w:rFonts w:ascii="Times New Roman"/>
          <w:b w:val="false"/>
          <w:i w:val="false"/>
          <w:color w:val="000000"/>
          <w:sz w:val="28"/>
        </w:rPr>
        <w:t>
      анализ карты риска организации;</w:t>
      </w:r>
    </w:p>
    <w:bookmarkEnd w:id="56"/>
    <w:bookmarkStart w:name="z68" w:id="57"/>
    <w:p>
      <w:pPr>
        <w:spacing w:after="0"/>
        <w:ind w:left="0"/>
        <w:jc w:val="both"/>
      </w:pPr>
      <w:r>
        <w:rPr>
          <w:rFonts w:ascii="Times New Roman"/>
          <w:b w:val="false"/>
          <w:i w:val="false"/>
          <w:color w:val="000000"/>
          <w:sz w:val="28"/>
        </w:rPr>
        <w:t>
      анализ коэффициентов системы оценки рисков организации (с пояснениями по коэффициентам, выходящим за пределы стандартного диапазона);</w:t>
      </w:r>
    </w:p>
    <w:bookmarkEnd w:id="57"/>
    <w:bookmarkStart w:name="z69" w:id="58"/>
    <w:p>
      <w:pPr>
        <w:spacing w:after="0"/>
        <w:ind w:left="0"/>
        <w:jc w:val="both"/>
      </w:pPr>
      <w:r>
        <w:rPr>
          <w:rFonts w:ascii="Times New Roman"/>
          <w:b w:val="false"/>
          <w:i w:val="false"/>
          <w:color w:val="000000"/>
          <w:sz w:val="28"/>
        </w:rPr>
        <w:t xml:space="preserve">
      краткий анализ текущих и прогнозируемых потребностей организации в капитале и его использовании, которые не приведут к нарушению пруденциальных нормативов и (или) выявлению факторов, влияющих на ухудшение финансового положения организации и (или) страховой группы, указанных в </w:t>
      </w:r>
      <w:r>
        <w:rPr>
          <w:rFonts w:ascii="Times New Roman"/>
          <w:b w:val="false"/>
          <w:i w:val="false"/>
          <w:color w:val="000000"/>
          <w:sz w:val="28"/>
        </w:rPr>
        <w:t>постановлении</w:t>
      </w:r>
      <w:r>
        <w:rPr>
          <w:rFonts w:ascii="Times New Roman"/>
          <w:b w:val="false"/>
          <w:i w:val="false"/>
          <w:color w:val="000000"/>
          <w:sz w:val="28"/>
        </w:rPr>
        <w:t xml:space="preserve"> Правления Национального Банка Республики Казахстан от 27 апреля 2018 года № 75 "Об установлении факторов, влияющих на ухудшение финансового положения страховой (перестраховочной) организации, страховой группы и филиала страховой (перестраховочной) организации – нерезидента Республики Казахстан,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страховой (перестраховочной) организации (страховой группы) и филиала страховой (перестраховочной) организации-нерезидента Республики Казахстан", зарегистрированном в Реестре государственной регистрации нормативных правовых актов под № 16944;</w:t>
      </w:r>
    </w:p>
    <w:bookmarkEnd w:id="58"/>
    <w:bookmarkStart w:name="z70" w:id="59"/>
    <w:p>
      <w:pPr>
        <w:spacing w:after="0"/>
        <w:ind w:left="0"/>
        <w:jc w:val="both"/>
      </w:pPr>
      <w:r>
        <w:rPr>
          <w:rFonts w:ascii="Times New Roman"/>
          <w:b w:val="false"/>
          <w:i w:val="false"/>
          <w:color w:val="000000"/>
          <w:sz w:val="28"/>
        </w:rPr>
        <w:t>
      отчетность по требованию совета директоров и акционеров организации.</w:t>
      </w:r>
    </w:p>
    <w:bookmarkEnd w:id="59"/>
    <w:bookmarkStart w:name="z71" w:id="60"/>
    <w:p>
      <w:pPr>
        <w:spacing w:after="0"/>
        <w:ind w:left="0"/>
        <w:jc w:val="both"/>
      </w:pPr>
      <w:r>
        <w:rPr>
          <w:rFonts w:ascii="Times New Roman"/>
          <w:b w:val="false"/>
          <w:i w:val="false"/>
          <w:color w:val="000000"/>
          <w:sz w:val="28"/>
        </w:rPr>
        <w:t>
      Перечень управленческой отчетности достаточен для надлежащего исполнения советом директоров и правлением функциональных обязанностей и полномочий в целях обеспечения надлежащего управления рисками и внутреннего контроля.";</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Перечню некоторых нормативных правовых актов Республики Казахстан по вопросам регулирования банковской, страховой деятельности и рынка ценных бумаг, в которые вносятся изменения.</w:t>
      </w:r>
    </w:p>
    <w:bookmarkStart w:name="z73" w:id="61"/>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декабря 2018 года №317 "Об установлении факторов, влияющих на ухудшение финансового положения банка и банковского конгломерата, филиала банка-нерезидента Республики Казахстан,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банка (банковского конгломерата), филиала банка-нерезидента Республики Казахстан" (зарегистрировано в Реестре государственной регистрации нормативных правовых актов Республики Казахстан под № 18186) следующее изменение:</w:t>
      </w:r>
    </w:p>
    <w:bookmarkEnd w:id="61"/>
    <w:bookmarkStart w:name="z74"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факторов, влияющих на ухудшение финансового положения банка (банковского конгломерата), филиала банка-нерезидента Республики Казахстан, утвержденной указанным постановлением:</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76" w:id="63"/>
    <w:p>
      <w:pPr>
        <w:spacing w:after="0"/>
        <w:ind w:left="0"/>
        <w:jc w:val="both"/>
      </w:pPr>
      <w:r>
        <w:rPr>
          <w:rFonts w:ascii="Times New Roman"/>
          <w:b w:val="false"/>
          <w:i w:val="false"/>
          <w:color w:val="000000"/>
          <w:sz w:val="28"/>
        </w:rPr>
        <w:t xml:space="preserve">
      "6. Под суммой требований участников банковского конгломерата друг к другу по внутригрупповым сделкам понимается сумма остатков требований участников банковского конгломерата друг к другу по внутригрупповым сделкам, информация по которым предусматривается в отчете по сбору сведений по внутригрупповым сделкам банковского конгломерата, заключенным в течение отчетного периода, а также действующим по состоянию на отчетную дату,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постановлению Правления Национального Банка Республики Казахстан от 27 декабря 2019 года № 258 "Об установлении перечня, форм, сроков представления отчетности о выполнении пруденциальных нормативов банковскими конгломератами и Правил ее представления", зарегистрированному в Реестре государственной регистрации нормативных правовых актов под № 19834.</w:t>
      </w:r>
    </w:p>
    <w:bookmarkEnd w:id="63"/>
    <w:bookmarkStart w:name="z77" w:id="64"/>
    <w:p>
      <w:pPr>
        <w:spacing w:after="0"/>
        <w:ind w:left="0"/>
        <w:jc w:val="both"/>
      </w:pPr>
      <w:r>
        <w:rPr>
          <w:rFonts w:ascii="Times New Roman"/>
          <w:b w:val="false"/>
          <w:i w:val="false"/>
          <w:color w:val="000000"/>
          <w:sz w:val="28"/>
        </w:rPr>
        <w:t xml:space="preserve">
      При расчете суммы требований участников банковского конгломерата друг к другу по внутригрупповым сделкам между участниками банковского конгломерата производные финансовые инструменты учитываются как произведение номинальной стоимости указанных финансовых инструментов на коэффициент кредитного риска для производных финансовых инструментов, указанный в Таблице коэффициентов кредитного риска для производных финансовых инструментов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Нормативам № 170.".</w:t>
      </w:r>
    </w:p>
    <w:bookmarkEnd w:id="64"/>
    <w:bookmarkStart w:name="z78" w:id="65"/>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января 2019 года № 8 "Об утверждении Правил применения (установления) режима консервации банков второго уровня" (зарегистрировано в Реестре государственной регистрации нормативных правовых актов под № 18291), следующее изменение:</w:t>
      </w:r>
    </w:p>
    <w:bookmarkEnd w:id="65"/>
    <w:bookmarkStart w:name="z79"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(установления) режима консервации банков второго уровня, утвержденных указанным постановлением:</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1" w:id="67"/>
    <w:p>
      <w:pPr>
        <w:spacing w:after="0"/>
        <w:ind w:left="0"/>
        <w:jc w:val="both"/>
      </w:pPr>
      <w:r>
        <w:rPr>
          <w:rFonts w:ascii="Times New Roman"/>
          <w:b w:val="false"/>
          <w:i w:val="false"/>
          <w:color w:val="000000"/>
          <w:sz w:val="28"/>
        </w:rPr>
        <w:t>
      "5. Копия решения уполномоченного органа о проведении консервации банка вручается под роспись путем приглашения первого руководителя банка (лица, его замещающего) в уполномоченный орган в день его вынесения, или направляется банку посредством электронной, факсимильной или иными средствами связи, или доставляется нарочно работником уполномоченного органа по месту нахождения банка.</w:t>
      </w:r>
    </w:p>
    <w:bookmarkEnd w:id="67"/>
    <w:bookmarkStart w:name="z82" w:id="68"/>
    <w:p>
      <w:pPr>
        <w:spacing w:after="0"/>
        <w:ind w:left="0"/>
        <w:jc w:val="both"/>
      </w:pPr>
      <w:r>
        <w:rPr>
          <w:rFonts w:ascii="Times New Roman"/>
          <w:b w:val="false"/>
          <w:i w:val="false"/>
          <w:color w:val="000000"/>
          <w:sz w:val="28"/>
        </w:rPr>
        <w:t xml:space="preserve">
      Первый руководитель банка (лицо, его замещающее) передает руководителю временной администрации по управлению банком (временному управляющему банком) по акту приема-передачи имущество банка, включая все печати (при их наличии), штампы, клише и пломбы, ключи, коды доступа, пароли, имеющиеся в целях допуска к информации, документы, связанные с государственной регистрацией банка в органах юстиции, подлинники лицензий, выданные банку, фирменные бланки, электронные носители информации, программное обеспечение, ценные бумаги других юридических лиц, выпущенные в документарной форме, собственником которых является банк, а также документы, подлежащие хранению в банке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29 февраля 2016 года № 66 "Об установлении Перечня основных документов, подлежащих хранению, и сроков их хранения в банках второго уровня, филиалах банков-нерезидентов Республики Казахстан", зарегистрированному в Реестре государственной регистрации нормативных правовых актов под № 13710.".</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w:t>
            </w:r>
            <w:r>
              <w:br/>
            </w:r>
            <w:r>
              <w:rPr>
                <w:rFonts w:ascii="Times New Roman"/>
                <w:b w:val="false"/>
                <w:i w:val="false"/>
                <w:color w:val="000000"/>
                <w:sz w:val="20"/>
              </w:rPr>
              <w:t>некоторых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банковской, страховой</w:t>
            </w:r>
            <w:r>
              <w:br/>
            </w:r>
            <w:r>
              <w:rPr>
                <w:rFonts w:ascii="Times New Roman"/>
                <w:b w:val="false"/>
                <w:i w:val="false"/>
                <w:color w:val="000000"/>
                <w:sz w:val="20"/>
              </w:rPr>
              <w:t>деятельности и рынка ценных</w:t>
            </w:r>
            <w:r>
              <w:br/>
            </w:r>
            <w:r>
              <w:rPr>
                <w:rFonts w:ascii="Times New Roman"/>
                <w:b w:val="false"/>
                <w:i w:val="false"/>
                <w:color w:val="000000"/>
                <w:sz w:val="20"/>
              </w:rPr>
              <w:t>бумаг, в которые</w:t>
            </w:r>
            <w:r>
              <w:br/>
            </w:r>
            <w:r>
              <w:rPr>
                <w:rFonts w:ascii="Times New Roman"/>
                <w:b w:val="false"/>
                <w:i w:val="false"/>
                <w:color w:val="000000"/>
                <w:sz w:val="20"/>
              </w:rPr>
              <w:t>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формирования системы</w:t>
            </w:r>
            <w:r>
              <w:br/>
            </w:r>
            <w:r>
              <w:rPr>
                <w:rFonts w:ascii="Times New Roman"/>
                <w:b w:val="false"/>
                <w:i w:val="false"/>
                <w:color w:val="000000"/>
                <w:sz w:val="20"/>
              </w:rPr>
              <w:t>управления рисками</w:t>
            </w:r>
            <w:r>
              <w:br/>
            </w:r>
            <w:r>
              <w:rPr>
                <w:rFonts w:ascii="Times New Roman"/>
                <w:b w:val="false"/>
                <w:i w:val="false"/>
                <w:color w:val="000000"/>
                <w:sz w:val="20"/>
              </w:rPr>
              <w:t>и внутреннего контроля</w:t>
            </w:r>
            <w:r>
              <w:br/>
            </w:r>
            <w:r>
              <w:rPr>
                <w:rFonts w:ascii="Times New Roman"/>
                <w:b w:val="false"/>
                <w:i w:val="false"/>
                <w:color w:val="000000"/>
                <w:sz w:val="20"/>
              </w:rPr>
              <w:t>для страховых (перестраховочных)</w:t>
            </w:r>
            <w:r>
              <w:br/>
            </w:r>
            <w:r>
              <w:rPr>
                <w:rFonts w:ascii="Times New Roman"/>
                <w:b w:val="false"/>
                <w:i w:val="false"/>
                <w:color w:val="000000"/>
                <w:sz w:val="20"/>
              </w:rPr>
              <w:t>организаций, филиалов</w:t>
            </w:r>
            <w:r>
              <w:br/>
            </w:r>
            <w:r>
              <w:rPr>
                <w:rFonts w:ascii="Times New Roman"/>
                <w:b w:val="false"/>
                <w:i w:val="false"/>
                <w:color w:val="000000"/>
                <w:sz w:val="20"/>
              </w:rPr>
              <w:t>страховых (перестраховочных)</w:t>
            </w:r>
            <w:r>
              <w:br/>
            </w:r>
            <w:r>
              <w:rPr>
                <w:rFonts w:ascii="Times New Roman"/>
                <w:b w:val="false"/>
                <w:i w:val="false"/>
                <w:color w:val="000000"/>
                <w:sz w:val="20"/>
              </w:rPr>
              <w:t>организаций-нерезидентов</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 w:id="6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9"/>
    <w:p>
      <w:pPr>
        <w:spacing w:after="0"/>
        <w:ind w:left="0"/>
        <w:jc w:val="both"/>
      </w:pPr>
      <w:bookmarkStart w:name="z87" w:id="70"/>
      <w:r>
        <w:rPr>
          <w:rFonts w:ascii="Times New Roman"/>
          <w:b w:val="false"/>
          <w:i w:val="false"/>
          <w:color w:val="000000"/>
          <w:sz w:val="28"/>
        </w:rPr>
        <w:t>
      Представляется: в уполномоченный орган по регулированию, контролю и надзору финансового рынка и финансовых организаций</w:t>
      </w:r>
    </w:p>
    <w:bookmarkEnd w:id="70"/>
    <w:p>
      <w:pPr>
        <w:spacing w:after="0"/>
        <w:ind w:left="0"/>
        <w:jc w:val="both"/>
      </w:pPr>
      <w:r>
        <w:rPr>
          <w:rFonts w:ascii="Times New Roman"/>
          <w:b w:val="false"/>
          <w:i w:val="false"/>
          <w:color w:val="000000"/>
          <w:sz w:val="28"/>
        </w:rPr>
        <w:t>Форма административных данных размещена на интернет-ресурсе: http://finreg.kz</w:t>
      </w:r>
    </w:p>
    <w:p>
      <w:pPr>
        <w:spacing w:after="0"/>
        <w:ind w:left="0"/>
        <w:jc w:val="both"/>
      </w:pPr>
      <w:r>
        <w:rPr>
          <w:rFonts w:ascii="Times New Roman"/>
          <w:b w:val="false"/>
          <w:i w:val="false"/>
          <w:color w:val="000000"/>
          <w:sz w:val="28"/>
        </w:rPr>
        <w:t>Гэп-анализ для страховых организаций, осуществляющих деятельность в отрасли "страхование жизни"</w:t>
      </w:r>
    </w:p>
    <w:p>
      <w:pPr>
        <w:spacing w:after="0"/>
        <w:ind w:left="0"/>
        <w:jc w:val="both"/>
      </w:pPr>
      <w:r>
        <w:rPr>
          <w:rFonts w:ascii="Times New Roman"/>
          <w:b w:val="false"/>
          <w:i w:val="false"/>
          <w:color w:val="000000"/>
          <w:sz w:val="28"/>
        </w:rPr>
        <w:t>Индекс формы административных данных: GAP-LI1</w:t>
      </w:r>
    </w:p>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по состоянию на "___" _______________ 20___ года</w:t>
      </w:r>
    </w:p>
    <w:p>
      <w:pPr>
        <w:spacing w:after="0"/>
        <w:ind w:left="0"/>
        <w:jc w:val="both"/>
      </w:pPr>
      <w:r>
        <w:rPr>
          <w:rFonts w:ascii="Times New Roman"/>
          <w:b w:val="false"/>
          <w:i w:val="false"/>
          <w:color w:val="000000"/>
          <w:sz w:val="28"/>
        </w:rPr>
        <w:t>Круг лиц, представляющих информацию: страховые организации, осуществляющие деятельность в отрасли "страхование жизни"</w:t>
      </w:r>
    </w:p>
    <w:p>
      <w:pPr>
        <w:spacing w:after="0"/>
        <w:ind w:left="0"/>
        <w:jc w:val="both"/>
      </w:pPr>
      <w:r>
        <w:rPr>
          <w:rFonts w:ascii="Times New Roman"/>
          <w:b w:val="false"/>
          <w:i w:val="false"/>
          <w:color w:val="000000"/>
          <w:sz w:val="28"/>
        </w:rPr>
        <w:t>Срок представления: ежеквартально, не позднее 15 (пятнадцатого) рабочего дня месяца, следующего за отчетным кварталом</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(наименование страховой организации)</w:t>
      </w:r>
    </w:p>
    <w:bookmarkStart w:name="z88" w:id="71"/>
    <w:p>
      <w:pPr>
        <w:spacing w:after="0"/>
        <w:ind w:left="0"/>
        <w:jc w:val="both"/>
      </w:pPr>
      <w:r>
        <w:rPr>
          <w:rFonts w:ascii="Times New Roman"/>
          <w:b w:val="false"/>
          <w:i w:val="false"/>
          <w:color w:val="000000"/>
          <w:sz w:val="28"/>
        </w:rPr>
        <w:t>
      (тысяч тенге)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8835"/>
        <w:gridCol w:w="241"/>
        <w:gridCol w:w="328"/>
        <w:gridCol w:w="328"/>
        <w:gridCol w:w="363"/>
        <w:gridCol w:w="329"/>
        <w:gridCol w:w="329"/>
        <w:gridCol w:w="398"/>
        <w:gridCol w:w="374"/>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 погашения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месяца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месяцев</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6 месяцев</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месяцев до 1 года</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лет</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лет</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 лет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лет</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 имеют долгосрочный кредитный рейтинг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 являются дочерними банками-резидентами, родительские банки-нерезиденты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 до "kzBВ-" по национальной шкале Standard &amp; Poor's (Стандард энд Пурс),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иностранных государств), выпущенные Министерством финансов Республики Казахстан и Национальным Банком Республики Казахстан,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юридических лиц Республики Казахстан, входящих в официальный список фондовой биржи, осуществляющей деятельность на территории Республики Казахстан,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долгосрочный кредитный рейтинг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находящиеся в представительском списке индекса казахстанской фондовой биржи и депозитарные расписки, базовым активом которых являются данные акции, за исключением акций, указанных в строке 1.4.1,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долгосрочный кредитный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 до "kzBВ-" по национальной шкале Standard &amp; Poor's (Стандард энд Пурс)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акции, выпущенные в соответствии с законодательством Республики Казахстан о рынке ценных бумаг, допущенные к обращению на фондовой бирже в соответствии с Требованиями к эмитентам и их ценным бумагам, допускаемым (допущенным) к обращению на фондовой бирже, а также к отдельным категориям списка фондовой биржи, утвержденным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27 марта 2017 года № 54, зарегистрированным в Реестре государственной регистрации нормативных правовых актов под № 15175 (далее - Требования № 54), и депозитарные расписки, базовым активом которых являются данные акции, за исключением акций, указанных в строках 1.4.1, 1.4.2 и 1.4.3,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в соответствии с законодательством Республики Казахстан о рынке ценных бумаг и других государств, имеющие (эмитент которых имеет) долгосрочный кредитный рейтинг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в соответствии с законодательством Республики Казахстан о рынке ценных бумаг и иностранных государств, имеющие (эмитент которых имеет) долгосрочный кредитный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от "kzB+" до "kzBВ-" по национальной шкале Standard &amp; Poor's (Стандард энд Пурс), или рейтинг аналогичного уровня по национальной шкале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допущенные к обращению на фондовой бирже в соответствии с Требованиями № 54, за исключением долговых ценных бумаг, указанных в строках 1.4.5 и 1.4.6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акционерного общества "Фонд гарантирования страховых выплат",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суверенную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выпущенные иностранными организациями: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"ВВВ-"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"ВВВ-" агентства Standard &amp; Poor's (Стандард энд Пурс), или рейтинг аналогичного уровня одного из других рейтинговых агентств (с учетом сумм основного долга и начисленного вознаграждения),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Ценные бумаги международных финансовых организаций, перечень которых определен пунктом 39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установленных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26 декабря 2016 года № 304, зарегистрированным в Реестре государственной регистрации нормативных правовых актов под № 14794 (далее - Нормативы)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"АA" по международной шкале агентства Standard &amp; Poor’s (Стандард энд Пурс), или рейтингом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 всего, в том числе: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соответствующие требованиям подпункта 12) пункта 38 Нормативов,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соответствующие требованиям подпункта 13) пункта 38 Нормативов,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открытого и интервального паевого инвестиционного фонда,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соответствующие требованиям подпункта 15) пункта 38 Нормативов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балансу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классам страхования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гэп (строка 1- строка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гэп в процентах от активов (строка 4/строка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Кумулятивный гэп</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Кумулятивный гэп в процентах от активов (строка 6/строка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p>
      <w:pPr>
        <w:spacing w:after="0"/>
        <w:ind w:left="0"/>
        <w:jc w:val="both"/>
      </w:pPr>
      <w:r>
        <w:rPr>
          <w:rFonts w:ascii="Times New Roman"/>
          <w:b w:val="false"/>
          <w:i w:val="false"/>
          <w:color w:val="000000"/>
          <w:sz w:val="28"/>
        </w:rPr>
        <w:t>
      Наименование 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Первый руководитель или лицо, уполномоченное им на подписание гэп-анализа</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 xml:space="preserve">фамилия, имя, отчество (при его наличии) подпись, телефон </w:t>
      </w:r>
    </w:p>
    <w:p>
      <w:pPr>
        <w:spacing w:after="0"/>
        <w:ind w:left="0"/>
        <w:jc w:val="both"/>
      </w:pPr>
      <w:r>
        <w:rPr>
          <w:rFonts w:ascii="Times New Roman"/>
          <w:b w:val="false"/>
          <w:i w:val="false"/>
          <w:color w:val="000000"/>
          <w:sz w:val="28"/>
        </w:rPr>
        <w:t xml:space="preserve">Руководитель подразделения по управлению рисками </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телефон</w:t>
      </w:r>
    </w:p>
    <w:p>
      <w:pPr>
        <w:spacing w:after="0"/>
        <w:ind w:left="0"/>
        <w:jc w:val="both"/>
      </w:pPr>
      <w:r>
        <w:rPr>
          <w:rFonts w:ascii="Times New Roman"/>
          <w:b w:val="false"/>
          <w:i w:val="false"/>
          <w:color w:val="000000"/>
          <w:sz w:val="28"/>
        </w:rPr>
        <w:t>Дата "_____" ___________________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гэп-анализа</w:t>
            </w:r>
            <w:r>
              <w:br/>
            </w:r>
            <w:r>
              <w:rPr>
                <w:rFonts w:ascii="Times New Roman"/>
                <w:b w:val="false"/>
                <w:i w:val="false"/>
                <w:color w:val="000000"/>
                <w:sz w:val="20"/>
              </w:rPr>
              <w:t>для страховых организаций,</w:t>
            </w:r>
            <w:r>
              <w:br/>
            </w:r>
            <w:r>
              <w:rPr>
                <w:rFonts w:ascii="Times New Roman"/>
                <w:b w:val="false"/>
                <w:i w:val="false"/>
                <w:color w:val="000000"/>
                <w:sz w:val="20"/>
              </w:rPr>
              <w:t>осуществляющих деятельность</w:t>
            </w:r>
            <w:r>
              <w:br/>
            </w:r>
            <w:r>
              <w:rPr>
                <w:rFonts w:ascii="Times New Roman"/>
                <w:b w:val="false"/>
                <w:i w:val="false"/>
                <w:color w:val="000000"/>
                <w:sz w:val="20"/>
              </w:rPr>
              <w:t>в отрасли "страхование жизни"</w:t>
            </w:r>
          </w:p>
        </w:tc>
      </w:tr>
    </w:tbl>
    <w:bookmarkStart w:name="z97" w:id="7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72"/>
    <w:bookmarkStart w:name="z98" w:id="73"/>
    <w:p>
      <w:pPr>
        <w:spacing w:after="0"/>
        <w:ind w:left="0"/>
        <w:jc w:val="both"/>
      </w:pPr>
      <w:r>
        <w:rPr>
          <w:rFonts w:ascii="Times New Roman"/>
          <w:b w:val="false"/>
          <w:i w:val="false"/>
          <w:color w:val="000000"/>
          <w:sz w:val="28"/>
        </w:rPr>
        <w:t>
      Гэп-анализ для страховых организаций, осуществляющих деятельность в отрасли "страхование жизни" (индекс – GAP-LI1, периодичность – ежеквартальная)</w:t>
      </w:r>
    </w:p>
    <w:bookmarkEnd w:id="73"/>
    <w:bookmarkStart w:name="z99" w:id="74"/>
    <w:p>
      <w:pPr>
        <w:spacing w:after="0"/>
        <w:ind w:left="0"/>
        <w:jc w:val="left"/>
      </w:pPr>
      <w:r>
        <w:rPr>
          <w:rFonts w:ascii="Times New Roman"/>
          <w:b/>
          <w:i w:val="false"/>
          <w:color w:val="000000"/>
        </w:rPr>
        <w:t xml:space="preserve"> Глава 1. Общие положения</w:t>
      </w:r>
    </w:p>
    <w:bookmarkEnd w:id="74"/>
    <w:bookmarkStart w:name="z100" w:id="75"/>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(далее – Пояснение) определяет единые требования по заполнению формы, предназначенной для сбора административных данных "Гэп-анализ для страховых организаций, осуществляющих деятельность в отрасли "страхование жизни" (далее – Форма).</w:t>
      </w:r>
    </w:p>
    <w:bookmarkEnd w:id="75"/>
    <w:bookmarkStart w:name="z101" w:id="76"/>
    <w:p>
      <w:pPr>
        <w:spacing w:after="0"/>
        <w:ind w:left="0"/>
        <w:jc w:val="both"/>
      </w:pPr>
      <w:r>
        <w:rPr>
          <w:rFonts w:ascii="Times New Roman"/>
          <w:b w:val="false"/>
          <w:i w:val="false"/>
          <w:color w:val="000000"/>
          <w:sz w:val="28"/>
        </w:rPr>
        <w:t>
      2. Форма заполняется страховой организацией, осуществляющей деятельность в отрасли "страхование жизни", ежеквартально по состоянию на конец отчетного периода.</w:t>
      </w:r>
    </w:p>
    <w:bookmarkEnd w:id="76"/>
    <w:bookmarkStart w:name="z102" w:id="77"/>
    <w:p>
      <w:pPr>
        <w:spacing w:after="0"/>
        <w:ind w:left="0"/>
        <w:jc w:val="both"/>
      </w:pPr>
      <w:r>
        <w:rPr>
          <w:rFonts w:ascii="Times New Roman"/>
          <w:b w:val="false"/>
          <w:i w:val="false"/>
          <w:color w:val="000000"/>
          <w:sz w:val="28"/>
        </w:rPr>
        <w:t>
      3. Единица измерения, используемая при заполнении Формы, устанавливается в тысячах тенге и в процентах (до второго знака после запятой). Сумма менее 500 (пятисот) тенге округляется до 0 (нуля), а сумма, равная 500 (пятистам) тенге и выше, округляется до 1000 (тысячи) тенге.</w:t>
      </w:r>
    </w:p>
    <w:bookmarkEnd w:id="77"/>
    <w:bookmarkStart w:name="z103" w:id="78"/>
    <w:p>
      <w:pPr>
        <w:spacing w:after="0"/>
        <w:ind w:left="0"/>
        <w:jc w:val="both"/>
      </w:pPr>
      <w:r>
        <w:rPr>
          <w:rFonts w:ascii="Times New Roman"/>
          <w:b w:val="false"/>
          <w:i w:val="false"/>
          <w:color w:val="000000"/>
          <w:sz w:val="28"/>
        </w:rPr>
        <w:t>
      4. Форму подписывают первый руководитель или лицо, уполномоченное им на подписание гэп-анализа, а также руководитель подразделения по управлению рисками.</w:t>
      </w:r>
    </w:p>
    <w:bookmarkEnd w:id="78"/>
    <w:bookmarkStart w:name="z104" w:id="79"/>
    <w:p>
      <w:pPr>
        <w:spacing w:after="0"/>
        <w:ind w:left="0"/>
        <w:jc w:val="left"/>
      </w:pPr>
      <w:r>
        <w:rPr>
          <w:rFonts w:ascii="Times New Roman"/>
          <w:b/>
          <w:i w:val="false"/>
          <w:color w:val="000000"/>
        </w:rPr>
        <w:t xml:space="preserve"> Глава 2. Пояснение по заполнению Формы</w:t>
      </w:r>
    </w:p>
    <w:bookmarkEnd w:id="79"/>
    <w:bookmarkStart w:name="z105" w:id="80"/>
    <w:p>
      <w:pPr>
        <w:spacing w:after="0"/>
        <w:ind w:left="0"/>
        <w:jc w:val="both"/>
      </w:pPr>
      <w:r>
        <w:rPr>
          <w:rFonts w:ascii="Times New Roman"/>
          <w:b w:val="false"/>
          <w:i w:val="false"/>
          <w:color w:val="000000"/>
          <w:sz w:val="28"/>
        </w:rPr>
        <w:t>
      5. В столбце 10 указываются активы, не имеющие срока погашения.</w:t>
      </w:r>
    </w:p>
    <w:bookmarkEnd w:id="80"/>
    <w:bookmarkStart w:name="z106" w:id="81"/>
    <w:p>
      <w:pPr>
        <w:spacing w:after="0"/>
        <w:ind w:left="0"/>
        <w:jc w:val="both"/>
      </w:pPr>
      <w:r>
        <w:rPr>
          <w:rFonts w:ascii="Times New Roman"/>
          <w:b w:val="false"/>
          <w:i w:val="false"/>
          <w:color w:val="000000"/>
          <w:sz w:val="28"/>
        </w:rPr>
        <w:t>
      6. В строке 6 кумулятивный гэп рассчитывается по следующей формуле:</w:t>
      </w:r>
    </w:p>
    <w:bookmarkEnd w:id="81"/>
    <w:bookmarkStart w:name="z107"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63754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754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