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60a2" w14:textId="97b6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Республики Казахстан по вопросам регулирования банковской деятельности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декабря 2021 года № 110. Зарегистрировано в Министерстве юстиции Республики Казахстан 6 января 2022 года № 26402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п.4</w:t>
      </w:r>
    </w:p>
    <w:p>
      <w:pPr>
        <w:spacing w:after="0"/>
        <w:ind w:left="0"/>
        <w:jc w:val="both"/>
      </w:pPr>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Start w:name="z5" w:id="0"/>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банковской деятельности, в которые вносятся изменения, согласно приложению к настоящему постановлению (далее - Перечень).</w:t>
      </w:r>
    </w:p>
    <w:bookmarkEnd w:id="0"/>
    <w:bookmarkStart w:name="z6" w:id="1"/>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1"/>
    <w:bookmarkStart w:name="z7" w:id="2"/>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3"/>
    <w:bookmarkStart w:name="z9" w:id="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с 1 января 2022 года, за исключением абзацев двести девятого, двести десятого, двести тринадцатого и двести двадцать девятого пункта 4 Перечня, которые вводятся в действие с 1 июля 2022 года, и абзацев двести одиннадцатого, двести двенадцатого, двести четырнадцатого, двести пятнадцатого, двести шестнадцатого, двести семнадцатого, двести восемнадцатого, двести девятнадцатого, двести двадцатого, двести двадцать первого, двести двадцать второго, двести двадцать третьего, двести двадцать четвертого, двести двадцать пятого, двести двадцать шестого, двести двадцать седьмого, двести двадцать восьмого, двести тридцатого, двести тридцать первого, двести тридцать второго, двести тридцать третьего и двести тридцать четвертого пункта 4 Перечня, которые вводятся в действие с 1 января 2023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регулированию</w:t>
            </w:r>
          </w:p>
          <w:p>
            <w:pPr>
              <w:spacing w:after="0"/>
              <w:ind w:left="0"/>
              <w:jc w:val="left"/>
            </w:pPr>
          </w:p>
          <w:p>
            <w:pPr>
              <w:spacing w:after="20"/>
              <w:ind w:left="20"/>
              <w:jc w:val="both"/>
            </w:pPr>
            <w:r>
              <w:rPr>
                <w:rFonts w:ascii="Times New Roman"/>
                <w:b w:val="false"/>
                <w:i/>
                <w:color w:val="000000"/>
                <w:sz w:val="20"/>
              </w:rPr>
              <w:t xml:space="preserve">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 планированию</w:t>
      </w:r>
    </w:p>
    <w:p>
      <w:pPr>
        <w:spacing w:after="0"/>
        <w:ind w:left="0"/>
        <w:jc w:val="both"/>
      </w:pPr>
      <w:r>
        <w:rPr>
          <w:rFonts w:ascii="Times New Roman"/>
          <w:b w:val="false"/>
          <w:i w:val="false"/>
          <w:color w:val="000000"/>
          <w:sz w:val="28"/>
        </w:rPr>
        <w:t>и реформам Республики Казахстан</w:t>
      </w:r>
    </w:p>
    <w:p>
      <w:pPr>
        <w:spacing w:after="0"/>
        <w:ind w:left="0"/>
        <w:jc w:val="both"/>
      </w:pPr>
      <w:bookmarkStart w:name="z15" w:id="9"/>
      <w:r>
        <w:rPr>
          <w:rFonts w:ascii="Times New Roman"/>
          <w:b w:val="false"/>
          <w:i w:val="false"/>
          <w:color w:val="000000"/>
          <w:sz w:val="28"/>
        </w:rPr>
        <w:t xml:space="preserve">
      "СОГЛАСОВАНО" </w:t>
      </w:r>
    </w:p>
    <w:bookmarkEnd w:id="9"/>
    <w:p>
      <w:pPr>
        <w:spacing w:after="0"/>
        <w:ind w:left="0"/>
        <w:jc w:val="both"/>
      </w:pPr>
      <w:r>
        <w:rPr>
          <w:rFonts w:ascii="Times New Roman"/>
          <w:b w:val="false"/>
          <w:i w:val="false"/>
          <w:color w:val="000000"/>
          <w:sz w:val="28"/>
        </w:rPr>
        <w:t xml:space="preserve">Национальный Банк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декабря 2021 года № 110</w:t>
            </w:r>
          </w:p>
        </w:tc>
      </w:tr>
    </w:tbl>
    <w:bookmarkStart w:name="z17"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банковской деятельности, в которые вносятся изменения </w:t>
      </w:r>
    </w:p>
    <w:bookmarkEnd w:id="10"/>
    <w:bookmarkStart w:name="z18"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мая 2016 года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(зарегистрировано в Реестре государственной регистрации нормативных правовых актов под № 13939) следующие изменения:</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методике расчетов пруденциальных нормативов и иных обязательных к соблюдению норм и лимитов для исламских банков, утвержденных указанным постановлением: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"7. Капитал первого уровня рассчитывается как сумма основного капитала и добавочного капитала:</w:t>
      </w:r>
    </w:p>
    <w:bookmarkEnd w:id="13"/>
    <w:bookmarkStart w:name="z22" w:id="14"/>
    <w:p>
      <w:pPr>
        <w:spacing w:after="0"/>
        <w:ind w:left="0"/>
        <w:jc w:val="both"/>
      </w:pPr>
      <w:r>
        <w:rPr>
          <w:rFonts w:ascii="Times New Roman"/>
          <w:b w:val="false"/>
          <w:i w:val="false"/>
          <w:color w:val="000000"/>
          <w:sz w:val="28"/>
        </w:rPr>
        <w:t>
      1) основной капитал рассчитывается как сумма:</w:t>
      </w:r>
    </w:p>
    <w:bookmarkEnd w:id="14"/>
    <w:bookmarkStart w:name="z23" w:id="15"/>
    <w:p>
      <w:pPr>
        <w:spacing w:after="0"/>
        <w:ind w:left="0"/>
        <w:jc w:val="both"/>
      </w:pPr>
      <w:r>
        <w:rPr>
          <w:rFonts w:ascii="Times New Roman"/>
          <w:b w:val="false"/>
          <w:i w:val="false"/>
          <w:color w:val="000000"/>
          <w:sz w:val="28"/>
        </w:rPr>
        <w:t xml:space="preserve">
      оплаченных простых акций, соответствующих критериям финансовых инструментов основного капитала, предусмотренным Критериями для классификации инструментов в составе капитала банка согласно </w:t>
      </w:r>
      <w:r>
        <w:rPr>
          <w:rFonts w:ascii="Times New Roman"/>
          <w:b w:val="false"/>
          <w:i w:val="false"/>
          <w:color w:val="000000"/>
          <w:sz w:val="28"/>
        </w:rPr>
        <w:t>приложению 1-1</w:t>
      </w:r>
      <w:r>
        <w:rPr>
          <w:rFonts w:ascii="Times New Roman"/>
          <w:b w:val="false"/>
          <w:i w:val="false"/>
          <w:color w:val="000000"/>
          <w:sz w:val="28"/>
        </w:rPr>
        <w:t xml:space="preserve"> к Нормативам;</w:t>
      </w:r>
    </w:p>
    <w:bookmarkEnd w:id="15"/>
    <w:bookmarkStart w:name="z24" w:id="16"/>
    <w:p>
      <w:pPr>
        <w:spacing w:after="0"/>
        <w:ind w:left="0"/>
        <w:jc w:val="both"/>
      </w:pPr>
      <w:r>
        <w:rPr>
          <w:rFonts w:ascii="Times New Roman"/>
          <w:b w:val="false"/>
          <w:i w:val="false"/>
          <w:color w:val="000000"/>
          <w:sz w:val="28"/>
        </w:rPr>
        <w:t>
      дополнительного оплаченного капитала;</w:t>
      </w:r>
    </w:p>
    <w:bookmarkEnd w:id="16"/>
    <w:bookmarkStart w:name="z25" w:id="17"/>
    <w:p>
      <w:pPr>
        <w:spacing w:after="0"/>
        <w:ind w:left="0"/>
        <w:jc w:val="both"/>
      </w:pPr>
      <w:r>
        <w:rPr>
          <w:rFonts w:ascii="Times New Roman"/>
          <w:b w:val="false"/>
          <w:i w:val="false"/>
          <w:color w:val="000000"/>
          <w:sz w:val="28"/>
        </w:rPr>
        <w:t>
      нераспределенной чистой прибыли прошлых лет;</w:t>
      </w:r>
    </w:p>
    <w:bookmarkEnd w:id="17"/>
    <w:bookmarkStart w:name="z26" w:id="18"/>
    <w:p>
      <w:pPr>
        <w:spacing w:after="0"/>
        <w:ind w:left="0"/>
        <w:jc w:val="both"/>
      </w:pPr>
      <w:r>
        <w:rPr>
          <w:rFonts w:ascii="Times New Roman"/>
          <w:b w:val="false"/>
          <w:i w:val="false"/>
          <w:color w:val="000000"/>
          <w:sz w:val="28"/>
        </w:rPr>
        <w:t>
      нераспределенной чистой прибыли текущего года;</w:t>
      </w:r>
    </w:p>
    <w:bookmarkEnd w:id="18"/>
    <w:bookmarkStart w:name="z27" w:id="19"/>
    <w:p>
      <w:pPr>
        <w:spacing w:after="0"/>
        <w:ind w:left="0"/>
        <w:jc w:val="both"/>
      </w:pPr>
      <w:r>
        <w:rPr>
          <w:rFonts w:ascii="Times New Roman"/>
          <w:b w:val="false"/>
          <w:i w:val="false"/>
          <w:color w:val="000000"/>
          <w:sz w:val="28"/>
        </w:rPr>
        <w:t xml:space="preserve">
      накопленного раскрытого резерва, определяемого как сумма остатков на балансовом счете 3510 "Резервный капитал" </w:t>
      </w:r>
      <w:r>
        <w:rPr>
          <w:rFonts w:ascii="Times New Roman"/>
          <w:b w:val="false"/>
          <w:i w:val="false"/>
          <w:color w:val="000000"/>
          <w:sz w:val="28"/>
        </w:rPr>
        <w:t>Типового плана</w:t>
      </w:r>
      <w:r>
        <w:rPr>
          <w:rFonts w:ascii="Times New Roman"/>
          <w:b w:val="false"/>
          <w:i w:val="false"/>
          <w:color w:val="000000"/>
          <w:sz w:val="28"/>
        </w:rPr>
        <w:t xml:space="preserve"> счетов бухгалтерского учета в банках второго уровня, ипотечных организациях, акционерном обществе "Банк Развития Казахстана" и филиалах банков - нерезидентов Республики Казахстан, утвержденного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w:t>
      </w:r>
    </w:p>
    <w:bookmarkEnd w:id="19"/>
    <w:bookmarkStart w:name="z28" w:id="20"/>
    <w:p>
      <w:pPr>
        <w:spacing w:after="0"/>
        <w:ind w:left="0"/>
        <w:jc w:val="both"/>
      </w:pPr>
      <w:r>
        <w:rPr>
          <w:rFonts w:ascii="Times New Roman"/>
          <w:b w:val="false"/>
          <w:i w:val="false"/>
          <w:color w:val="000000"/>
          <w:sz w:val="28"/>
        </w:rPr>
        <w:t>
      резервов переоценки основных средств и резервов переоценки стоимости ценных бумаг, учитываемых по справедливой стоимости через прочий совокупный доход;</w:t>
      </w:r>
    </w:p>
    <w:bookmarkEnd w:id="20"/>
    <w:bookmarkStart w:name="z29" w:id="21"/>
    <w:p>
      <w:pPr>
        <w:spacing w:after="0"/>
        <w:ind w:left="0"/>
        <w:jc w:val="both"/>
      </w:pPr>
      <w:r>
        <w:rPr>
          <w:rFonts w:ascii="Times New Roman"/>
          <w:b w:val="false"/>
          <w:i w:val="false"/>
          <w:color w:val="000000"/>
          <w:sz w:val="28"/>
        </w:rPr>
        <w:t>
      резервов переоценки стоимости займов, учитываемых по справедливой стоимости через прочий совокупный доход;</w:t>
      </w:r>
    </w:p>
    <w:bookmarkEnd w:id="21"/>
    <w:bookmarkStart w:name="z30" w:id="22"/>
    <w:p>
      <w:pPr>
        <w:spacing w:after="0"/>
        <w:ind w:left="0"/>
        <w:jc w:val="both"/>
      </w:pPr>
      <w:r>
        <w:rPr>
          <w:rFonts w:ascii="Times New Roman"/>
          <w:b w:val="false"/>
          <w:i w:val="false"/>
          <w:color w:val="000000"/>
          <w:sz w:val="28"/>
        </w:rPr>
        <w:t>
      за минусом следующих регуляторных корректировок:</w:t>
      </w:r>
    </w:p>
    <w:bookmarkEnd w:id="22"/>
    <w:bookmarkStart w:name="z31" w:id="23"/>
    <w:p>
      <w:pPr>
        <w:spacing w:after="0"/>
        <w:ind w:left="0"/>
        <w:jc w:val="both"/>
      </w:pPr>
      <w:r>
        <w:rPr>
          <w:rFonts w:ascii="Times New Roman"/>
          <w:b w:val="false"/>
          <w:i w:val="false"/>
          <w:color w:val="000000"/>
          <w:sz w:val="28"/>
        </w:rPr>
        <w:t>
      собственных выкупленных простых акций;</w:t>
      </w:r>
    </w:p>
    <w:bookmarkEnd w:id="23"/>
    <w:bookmarkStart w:name="z32" w:id="24"/>
    <w:p>
      <w:pPr>
        <w:spacing w:after="0"/>
        <w:ind w:left="0"/>
        <w:jc w:val="both"/>
      </w:pPr>
      <w:r>
        <w:rPr>
          <w:rFonts w:ascii="Times New Roman"/>
          <w:b w:val="false"/>
          <w:i w:val="false"/>
          <w:color w:val="000000"/>
          <w:sz w:val="28"/>
        </w:rPr>
        <w:t>
      нематериальных активов, включая гудвилл;</w:t>
      </w:r>
    </w:p>
    <w:bookmarkEnd w:id="24"/>
    <w:bookmarkStart w:name="z33" w:id="25"/>
    <w:p>
      <w:pPr>
        <w:spacing w:after="0"/>
        <w:ind w:left="0"/>
        <w:jc w:val="both"/>
      </w:pPr>
      <w:r>
        <w:rPr>
          <w:rFonts w:ascii="Times New Roman"/>
          <w:b w:val="false"/>
          <w:i w:val="false"/>
          <w:color w:val="000000"/>
          <w:sz w:val="28"/>
        </w:rPr>
        <w:t>
      убытков прошлых лет и убытков текущего года;</w:t>
      </w:r>
    </w:p>
    <w:bookmarkEnd w:id="25"/>
    <w:bookmarkStart w:name="z34" w:id="26"/>
    <w:p>
      <w:pPr>
        <w:spacing w:after="0"/>
        <w:ind w:left="0"/>
        <w:jc w:val="both"/>
      </w:pPr>
      <w:r>
        <w:rPr>
          <w:rFonts w:ascii="Times New Roman"/>
          <w:b w:val="false"/>
          <w:i w:val="false"/>
          <w:color w:val="000000"/>
          <w:sz w:val="28"/>
        </w:rPr>
        <w:t>
      отложенного налогового актива, за исключением части отложенных налоговых активов, признанных в отношении вычитаемых временных разниц;</w:t>
      </w:r>
    </w:p>
    <w:bookmarkEnd w:id="26"/>
    <w:bookmarkStart w:name="z35" w:id="27"/>
    <w:p>
      <w:pPr>
        <w:spacing w:after="0"/>
        <w:ind w:left="0"/>
        <w:jc w:val="both"/>
      </w:pPr>
      <w:r>
        <w:rPr>
          <w:rFonts w:ascii="Times New Roman"/>
          <w:b w:val="false"/>
          <w:i w:val="false"/>
          <w:color w:val="000000"/>
          <w:sz w:val="28"/>
        </w:rPr>
        <w:t>
      резервов по прочей переоценке;</w:t>
      </w:r>
    </w:p>
    <w:bookmarkEnd w:id="27"/>
    <w:bookmarkStart w:name="z36" w:id="28"/>
    <w:p>
      <w:pPr>
        <w:spacing w:after="0"/>
        <w:ind w:left="0"/>
        <w:jc w:val="both"/>
      </w:pPr>
      <w:r>
        <w:rPr>
          <w:rFonts w:ascii="Times New Roman"/>
          <w:b w:val="false"/>
          <w:i w:val="false"/>
          <w:color w:val="000000"/>
          <w:sz w:val="28"/>
        </w:rPr>
        <w:t>
      доходов от продаж, связанных с транзакциями по секьюритизации активов. К таким доходам относится доход будущих периодов в связи с полученным из условий секьюритизации ожиданием полного или частичного дохода в будущем;</w:t>
      </w:r>
    </w:p>
    <w:bookmarkEnd w:id="28"/>
    <w:bookmarkStart w:name="z37" w:id="29"/>
    <w:p>
      <w:pPr>
        <w:spacing w:after="0"/>
        <w:ind w:left="0"/>
        <w:jc w:val="both"/>
      </w:pP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w:t>
      </w:r>
    </w:p>
    <w:bookmarkEnd w:id="29"/>
    <w:bookmarkStart w:name="z38" w:id="30"/>
    <w:p>
      <w:pPr>
        <w:spacing w:after="0"/>
        <w:ind w:left="0"/>
        <w:jc w:val="both"/>
      </w:pPr>
      <w:r>
        <w:rPr>
          <w:rFonts w:ascii="Times New Roman"/>
          <w:b w:val="false"/>
          <w:i w:val="false"/>
          <w:color w:val="000000"/>
          <w:sz w:val="28"/>
        </w:rPr>
        <w:t>
      регуляторных корректировок, подлежащих вычету из добавочного капитала, но в связи с недостаточным его уровнем вычитаемые из основного капитала;</w:t>
      </w:r>
    </w:p>
    <w:bookmarkEnd w:id="30"/>
    <w:bookmarkStart w:name="z39" w:id="31"/>
    <w:p>
      <w:pPr>
        <w:spacing w:after="0"/>
        <w:ind w:left="0"/>
        <w:jc w:val="both"/>
      </w:pPr>
      <w:r>
        <w:rPr>
          <w:rFonts w:ascii="Times New Roman"/>
          <w:b w:val="false"/>
          <w:i w:val="false"/>
          <w:color w:val="000000"/>
          <w:sz w:val="28"/>
        </w:rPr>
        <w:t xml:space="preserve">
      инвестиций, указанных в </w:t>
      </w:r>
      <w:r>
        <w:rPr>
          <w:rFonts w:ascii="Times New Roman"/>
          <w:b w:val="false"/>
          <w:i w:val="false"/>
          <w:color w:val="000000"/>
          <w:sz w:val="28"/>
        </w:rPr>
        <w:t>пункте 8</w:t>
      </w:r>
      <w:r>
        <w:rPr>
          <w:rFonts w:ascii="Times New Roman"/>
          <w:b w:val="false"/>
          <w:i w:val="false"/>
          <w:color w:val="000000"/>
          <w:sz w:val="28"/>
        </w:rPr>
        <w:t xml:space="preserve"> Нормативов;</w:t>
      </w:r>
    </w:p>
    <w:bookmarkEnd w:id="31"/>
    <w:bookmarkStart w:name="z40" w:id="32"/>
    <w:p>
      <w:pPr>
        <w:spacing w:after="0"/>
        <w:ind w:left="0"/>
        <w:jc w:val="both"/>
      </w:pPr>
      <w:r>
        <w:rPr>
          <w:rFonts w:ascii="Times New Roman"/>
          <w:b w:val="false"/>
          <w:i w:val="false"/>
          <w:color w:val="000000"/>
          <w:sz w:val="28"/>
        </w:rPr>
        <w:t xml:space="preserve">
      2) в добавочный капитал включаются бессрочные договоры, соответствующие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 (далее - бессрочные финансовые инструменты), а также оплаченные привилегированные акции, соответствующие критериям, установленным в Критериях для классификации инструментов в составе капитала банка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Нормативам.</w:t>
      </w:r>
    </w:p>
    <w:bookmarkEnd w:id="32"/>
    <w:bookmarkStart w:name="z41" w:id="33"/>
    <w:p>
      <w:pPr>
        <w:spacing w:after="0"/>
        <w:ind w:left="0"/>
        <w:jc w:val="both"/>
      </w:pPr>
      <w:r>
        <w:rPr>
          <w:rFonts w:ascii="Times New Roman"/>
          <w:b w:val="false"/>
          <w:i w:val="false"/>
          <w:color w:val="000000"/>
          <w:sz w:val="28"/>
        </w:rPr>
        <w:t>
      Размер добавочного капитала уменьшается на сумму следующих регуляторных корректировок:</w:t>
      </w:r>
    </w:p>
    <w:bookmarkEnd w:id="33"/>
    <w:bookmarkStart w:name="z42" w:id="34"/>
    <w:p>
      <w:pPr>
        <w:spacing w:after="0"/>
        <w:ind w:left="0"/>
        <w:jc w:val="both"/>
      </w:pPr>
      <w:r>
        <w:rPr>
          <w:rFonts w:ascii="Times New Roman"/>
          <w:b w:val="false"/>
          <w:i w:val="false"/>
          <w:color w:val="000000"/>
          <w:sz w:val="28"/>
        </w:rPr>
        <w:t>
      инвестиций банка в собственные бессрочные финансовые инструменты прямым либо косвенным способом;</w:t>
      </w:r>
    </w:p>
    <w:bookmarkEnd w:id="34"/>
    <w:bookmarkStart w:name="z43" w:id="35"/>
    <w:p>
      <w:pPr>
        <w:spacing w:after="0"/>
        <w:ind w:left="0"/>
        <w:jc w:val="both"/>
      </w:pPr>
      <w:r>
        <w:rPr>
          <w:rFonts w:ascii="Times New Roman"/>
          <w:b w:val="false"/>
          <w:i w:val="false"/>
          <w:color w:val="000000"/>
          <w:sz w:val="28"/>
        </w:rPr>
        <w:t>
      собственных выкупленных привилегированных акций банка;</w:t>
      </w:r>
    </w:p>
    <w:bookmarkEnd w:id="35"/>
    <w:bookmarkStart w:name="z44" w:id="36"/>
    <w:p>
      <w:pPr>
        <w:spacing w:after="0"/>
        <w:ind w:left="0"/>
        <w:jc w:val="both"/>
      </w:pPr>
      <w:r>
        <w:rPr>
          <w:rFonts w:ascii="Times New Roman"/>
          <w:b w:val="false"/>
          <w:i w:val="false"/>
          <w:color w:val="000000"/>
          <w:sz w:val="28"/>
        </w:rPr>
        <w:t xml:space="preserve">
      инвестиций, указанных в </w:t>
      </w:r>
      <w:r>
        <w:rPr>
          <w:rFonts w:ascii="Times New Roman"/>
          <w:b w:val="false"/>
          <w:i w:val="false"/>
          <w:color w:val="000000"/>
          <w:sz w:val="28"/>
        </w:rPr>
        <w:t>пункте 8</w:t>
      </w:r>
      <w:r>
        <w:rPr>
          <w:rFonts w:ascii="Times New Roman"/>
          <w:b w:val="false"/>
          <w:i w:val="false"/>
          <w:color w:val="000000"/>
          <w:sz w:val="28"/>
        </w:rPr>
        <w:t xml:space="preserve"> Нормативов;</w:t>
      </w:r>
    </w:p>
    <w:bookmarkEnd w:id="36"/>
    <w:bookmarkStart w:name="z45" w:id="37"/>
    <w:p>
      <w:pPr>
        <w:spacing w:after="0"/>
        <w:ind w:left="0"/>
        <w:jc w:val="both"/>
      </w:pPr>
      <w:r>
        <w:rPr>
          <w:rFonts w:ascii="Times New Roman"/>
          <w:b w:val="false"/>
          <w:i w:val="false"/>
          <w:color w:val="000000"/>
          <w:sz w:val="28"/>
        </w:rPr>
        <w:t>
      регуляторных корректировок, подлежащих вычету из капитала второго уровня, но в связи с недостаточным его уровнем вычитаемые из добавочного капитала.</w:t>
      </w:r>
    </w:p>
    <w:bookmarkEnd w:id="37"/>
    <w:bookmarkStart w:name="z46" w:id="38"/>
    <w:p>
      <w:pPr>
        <w:spacing w:after="0"/>
        <w:ind w:left="0"/>
        <w:jc w:val="both"/>
      </w:pPr>
      <w:r>
        <w:rPr>
          <w:rFonts w:ascii="Times New Roman"/>
          <w:b w:val="false"/>
          <w:i w:val="false"/>
          <w:color w:val="000000"/>
          <w:sz w:val="28"/>
        </w:rPr>
        <w:t>
      Если сумма добавочного капитала банка недостаточна для осуществления вычета, то оставшаяся часть вычитается из основного капитала банка.";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48" w:id="39"/>
    <w:p>
      <w:pPr>
        <w:spacing w:after="0"/>
        <w:ind w:left="0"/>
        <w:jc w:val="both"/>
      </w:pPr>
      <w:r>
        <w:rPr>
          <w:rFonts w:ascii="Times New Roman"/>
          <w:b w:val="false"/>
          <w:i w:val="false"/>
          <w:color w:val="000000"/>
          <w:sz w:val="28"/>
        </w:rPr>
        <w:t xml:space="preserve">
      "31. Под термином "один заемщик" следует понимать каждое физическое или юридическое лицо, к которому у банка имеются требования или вероятность возникновения требований, указанных в </w:t>
      </w:r>
      <w:r>
        <w:rPr>
          <w:rFonts w:ascii="Times New Roman"/>
          <w:b w:val="false"/>
          <w:i w:val="false"/>
          <w:color w:val="000000"/>
          <w:sz w:val="28"/>
        </w:rPr>
        <w:t>пункте 34</w:t>
      </w:r>
      <w:r>
        <w:rPr>
          <w:rFonts w:ascii="Times New Roman"/>
          <w:b w:val="false"/>
          <w:i w:val="false"/>
          <w:color w:val="000000"/>
          <w:sz w:val="28"/>
        </w:rPr>
        <w:t xml:space="preserve"> Нормативов.</w:t>
      </w:r>
    </w:p>
    <w:bookmarkEnd w:id="39"/>
    <w:bookmarkStart w:name="z49" w:id="40"/>
    <w:p>
      <w:pPr>
        <w:spacing w:after="0"/>
        <w:ind w:left="0"/>
        <w:jc w:val="both"/>
      </w:pPr>
      <w:r>
        <w:rPr>
          <w:rFonts w:ascii="Times New Roman"/>
          <w:b w:val="false"/>
          <w:i w:val="false"/>
          <w:color w:val="000000"/>
          <w:sz w:val="28"/>
        </w:rPr>
        <w:t>
      Размер риска для группы, состоящей из двух или более заемщиков, рассчитывается в совокупности, как на одного заемщика, если размеры риска каждого из заемщиков превышают 0,05 (ноль целых пять сотых) процента собственного капитала банка, а также при наличии одного из следующих обстоятельств:</w:t>
      </w:r>
    </w:p>
    <w:bookmarkEnd w:id="40"/>
    <w:bookmarkStart w:name="z50" w:id="41"/>
    <w:p>
      <w:pPr>
        <w:spacing w:after="0"/>
        <w:ind w:left="0"/>
        <w:jc w:val="both"/>
      </w:pPr>
      <w:r>
        <w:rPr>
          <w:rFonts w:ascii="Times New Roman"/>
          <w:b w:val="false"/>
          <w:i w:val="false"/>
          <w:color w:val="000000"/>
          <w:sz w:val="28"/>
        </w:rPr>
        <w:t>
      один из заемщиков является крупным участником (крупным участником в акционерном обществе, товариществе с ограниченной ответственностью или товариществе с дополнительной ответственностью, полным товарищем в коммандитном товариществе, участником в полном товариществе), аффилированным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 (супругой), близким родственником супруга (супруги), первым руководителем другого заемщика, либо лицом, заинтересованным в совершении сделки другим заемщиком;</w:t>
      </w:r>
    </w:p>
    <w:bookmarkEnd w:id="41"/>
    <w:bookmarkStart w:name="z51" w:id="42"/>
    <w:p>
      <w:pPr>
        <w:spacing w:after="0"/>
        <w:ind w:left="0"/>
        <w:jc w:val="both"/>
      </w:pPr>
      <w:r>
        <w:rPr>
          <w:rFonts w:ascii="Times New Roman"/>
          <w:b w:val="false"/>
          <w:i w:val="false"/>
          <w:color w:val="000000"/>
          <w:sz w:val="28"/>
        </w:rPr>
        <w:t>
      крупный участник, аффилированное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одним заемщиком, является крупным участником, аффилированным лицом, близким родственником, супругом (супругой), близким родственником супруга (супруги) или первым руководителем другого заемщика, либо лицом, заинтересованным в совершении сделки другим заемщиком;</w:t>
      </w:r>
    </w:p>
    <w:bookmarkEnd w:id="42"/>
    <w:bookmarkStart w:name="z52" w:id="43"/>
    <w:p>
      <w:pPr>
        <w:spacing w:after="0"/>
        <w:ind w:left="0"/>
        <w:jc w:val="both"/>
      </w:pPr>
      <w:r>
        <w:rPr>
          <w:rFonts w:ascii="Times New Roman"/>
          <w:b w:val="false"/>
          <w:i w:val="false"/>
          <w:color w:val="000000"/>
          <w:sz w:val="28"/>
        </w:rPr>
        <w:t>
      крупный участник, аффилированное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с одним заемщиком, является крупным участником, аффилированным лицом, близким родственником, супругом (супругой), близким родственником супруга (супруги) или первым руководителем либо лицом, заинтересованным в совершении сделки, крупного участника, аффилированного лица, близкого родственника, супруга (супруги), близкого родственника супруга (супруги) или первого руководителя другого заемщика либо лица, заинтересованного в совершении сделки другим заемщиком;</w:t>
      </w:r>
    </w:p>
    <w:bookmarkEnd w:id="43"/>
    <w:bookmarkStart w:name="z53" w:id="44"/>
    <w:p>
      <w:pPr>
        <w:spacing w:after="0"/>
        <w:ind w:left="0"/>
        <w:jc w:val="both"/>
      </w:pPr>
      <w:r>
        <w:rPr>
          <w:rFonts w:ascii="Times New Roman"/>
          <w:b w:val="false"/>
          <w:i w:val="false"/>
          <w:color w:val="000000"/>
          <w:sz w:val="28"/>
        </w:rPr>
        <w:t>
      имеются достаточные основания, подтверждающие, что один из заемщиков передал другому в пользование деньги, полученные им от банка в заем, в размере, превышающем собственный капитал передающего заемщика;</w:t>
      </w:r>
    </w:p>
    <w:bookmarkEnd w:id="44"/>
    <w:bookmarkStart w:name="z54" w:id="45"/>
    <w:p>
      <w:pPr>
        <w:spacing w:after="0"/>
        <w:ind w:left="0"/>
        <w:jc w:val="both"/>
      </w:pPr>
      <w:r>
        <w:rPr>
          <w:rFonts w:ascii="Times New Roman"/>
          <w:b w:val="false"/>
          <w:i w:val="false"/>
          <w:color w:val="000000"/>
          <w:sz w:val="28"/>
        </w:rPr>
        <w:t>
      имеются достаточные основания, подтверждающие, что заемщики совместно или по отдельности передали средства, полученные от банка в заем, в размере, превышающем совокупный собственный капитал данных заемщиков, в пользование одному и тому же третьему лицу, не являющемуся заемщиком банка;</w:t>
      </w:r>
    </w:p>
    <w:bookmarkEnd w:id="45"/>
    <w:bookmarkStart w:name="z55" w:id="46"/>
    <w:p>
      <w:pPr>
        <w:spacing w:after="0"/>
        <w:ind w:left="0"/>
        <w:jc w:val="both"/>
      </w:pPr>
      <w:r>
        <w:rPr>
          <w:rFonts w:ascii="Times New Roman"/>
          <w:b w:val="false"/>
          <w:i w:val="false"/>
          <w:color w:val="000000"/>
          <w:sz w:val="28"/>
        </w:rPr>
        <w:t>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10 (десять) процентов его активов, по обязательствам другого заемщика;</w:t>
      </w:r>
    </w:p>
    <w:bookmarkEnd w:id="46"/>
    <w:bookmarkStart w:name="z56" w:id="47"/>
    <w:p>
      <w:pPr>
        <w:spacing w:after="0"/>
        <w:ind w:left="0"/>
        <w:jc w:val="both"/>
      </w:pPr>
      <w:r>
        <w:rPr>
          <w:rFonts w:ascii="Times New Roman"/>
          <w:b w:val="false"/>
          <w:i w:val="false"/>
          <w:color w:val="000000"/>
          <w:sz w:val="28"/>
        </w:rPr>
        <w:t>
      должностное лицо одного заемщика имеет финансовую заинтересованность в деятельности других заемщиков банка;</w:t>
      </w:r>
    </w:p>
    <w:bookmarkEnd w:id="47"/>
    <w:bookmarkStart w:name="z57" w:id="48"/>
    <w:p>
      <w:pPr>
        <w:spacing w:after="0"/>
        <w:ind w:left="0"/>
        <w:jc w:val="both"/>
      </w:pPr>
      <w:r>
        <w:rPr>
          <w:rFonts w:ascii="Times New Roman"/>
          <w:b w:val="false"/>
          <w:i w:val="false"/>
          <w:color w:val="000000"/>
          <w:sz w:val="28"/>
        </w:rPr>
        <w:t>
      заемщики связаны между собой договором о совместной деятельности либо иным документом, который содержит признаки договора о совместной деятельности;</w:t>
      </w:r>
    </w:p>
    <w:bookmarkEnd w:id="48"/>
    <w:bookmarkStart w:name="z58" w:id="49"/>
    <w:p>
      <w:pPr>
        <w:spacing w:after="0"/>
        <w:ind w:left="0"/>
        <w:jc w:val="both"/>
      </w:pPr>
      <w:r>
        <w:rPr>
          <w:rFonts w:ascii="Times New Roman"/>
          <w:b w:val="false"/>
          <w:i w:val="false"/>
          <w:color w:val="000000"/>
          <w:sz w:val="28"/>
        </w:rPr>
        <w:t>
      заемщики связаны таким образом, что их обязательства обеспечены общим залоговым имуществом, принадлежащим третьему лицу, либо в качестве обеспечения по их обязательствам предоставлены гарантия и (или) поручительство одного и того же лица, за исключением случаев наличия общего обеспечения, предоставленного в виде страховых полисов, резервных аккредитивов, поручительств, а также гарантий акционерного общества "Фонд развития предпринимательства "ДАМУ", акционерного общества "Фонд национального благосостояния "Самрук-Қазына", акционерного общества "Национальный управляющий холдинг "Байтерек" и их дочерних организаций, акционерного общества "Фонд проблемных кредитов", институтов развития и поддержки предпринимательства Республики Казахстан, национальной компании, осуществляющей функции по поддержке экспорта, международных финансовых организаций, финансовых организаций, банков-нерезидентов Республики Казахстан, имеющих рейтинг не ниже "B" агентства Standard &amp; Poor's (Стандард энд Пурс) или рейтинг аналогичного уровня одного из других рейтинговых агентств;</w:t>
      </w:r>
    </w:p>
    <w:bookmarkEnd w:id="49"/>
    <w:bookmarkStart w:name="z59" w:id="50"/>
    <w:p>
      <w:pPr>
        <w:spacing w:after="0"/>
        <w:ind w:left="0"/>
        <w:jc w:val="both"/>
      </w:pPr>
      <w:r>
        <w:rPr>
          <w:rFonts w:ascii="Times New Roman"/>
          <w:b w:val="false"/>
          <w:i w:val="false"/>
          <w:color w:val="000000"/>
          <w:sz w:val="28"/>
        </w:rPr>
        <w:t>
      заемщики связаны таким образом, что один из заемщиков предоставил залоговое имущество, гарантию, поручительство в обеспечение обязательств другого заемщика, за исключением случаев наличия обеспечения, предоставленного в виде страховых полисов, резервных аккредитивов, поручительств, а также гарантий акционерного общества "Фонд развития предпринимательства "ДАМУ", акционерного общества "Фонд национального благосостояния "Самрук-Қазына", акционерного общества "Национальный управляющий холдинг "Байтерек" и их дочерних организаций, акционерного общества "Фонд проблемных кредитов", институтов развития и поддержки предпринимательства Республики Казахстан, национальной компании, осуществляющей функции по поддержке экспорта, международных финансовых организаций, финансовых организаций, банков-нерезидентов Республики Казахстан, имеющих рейтинг не ниже "B" агентства Standard &amp; Poor's (Стандард энд Пурс) или рейтинг аналогичного уровня одного из других рейтинговых агентств;</w:t>
      </w:r>
    </w:p>
    <w:bookmarkEnd w:id="50"/>
    <w:bookmarkStart w:name="z60" w:id="51"/>
    <w:p>
      <w:pPr>
        <w:spacing w:after="0"/>
        <w:ind w:left="0"/>
        <w:jc w:val="both"/>
      </w:pPr>
      <w:r>
        <w:rPr>
          <w:rFonts w:ascii="Times New Roman"/>
          <w:b w:val="false"/>
          <w:i w:val="false"/>
          <w:color w:val="000000"/>
          <w:sz w:val="28"/>
        </w:rPr>
        <w:t>
      заемщики, соответствующие одному из следующих условий:</w:t>
      </w:r>
    </w:p>
    <w:bookmarkEnd w:id="51"/>
    <w:bookmarkStart w:name="z61" w:id="52"/>
    <w:p>
      <w:pPr>
        <w:spacing w:after="0"/>
        <w:ind w:left="0"/>
        <w:jc w:val="both"/>
      </w:pPr>
      <w:r>
        <w:rPr>
          <w:rFonts w:ascii="Times New Roman"/>
          <w:b w:val="false"/>
          <w:i w:val="false"/>
          <w:color w:val="000000"/>
          <w:sz w:val="28"/>
        </w:rPr>
        <w:t>
      являются юридическими лицами, зарегистрированными на территории следующих государств: княжество Андорра, княжество Лихтенштейн, Республика Либерия, княжество Монако, Маршалловы острова (Республика Маршалловы острова), или их гражданами;</w:t>
      </w:r>
    </w:p>
    <w:bookmarkEnd w:id="52"/>
    <w:bookmarkStart w:name="z62" w:id="53"/>
    <w:p>
      <w:pPr>
        <w:spacing w:after="0"/>
        <w:ind w:left="0"/>
        <w:jc w:val="both"/>
      </w:pPr>
      <w:r>
        <w:rPr>
          <w:rFonts w:ascii="Times New Roman"/>
          <w:b w:val="false"/>
          <w:i w:val="false"/>
          <w:color w:val="000000"/>
          <w:sz w:val="28"/>
        </w:rPr>
        <w:t>
      являются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w:t>
      </w:r>
    </w:p>
    <w:bookmarkEnd w:id="53"/>
    <w:bookmarkStart w:name="z63" w:id="54"/>
    <w:p>
      <w:pPr>
        <w:spacing w:after="0"/>
        <w:ind w:left="0"/>
        <w:jc w:val="both"/>
      </w:pPr>
      <w:r>
        <w:rPr>
          <w:rFonts w:ascii="Times New Roman"/>
          <w:b w:val="false"/>
          <w:i w:val="false"/>
          <w:color w:val="000000"/>
          <w:sz w:val="28"/>
        </w:rPr>
        <w:t>
      имеют крупных участников, аффилированных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тринадцатом и четырнадцатом части второй настоящего пункта;</w:t>
      </w:r>
    </w:p>
    <w:bookmarkEnd w:id="54"/>
    <w:bookmarkStart w:name="z64" w:id="55"/>
    <w:p>
      <w:pPr>
        <w:spacing w:after="0"/>
        <w:ind w:left="0"/>
        <w:jc w:val="both"/>
      </w:pPr>
      <w:r>
        <w:rPr>
          <w:rFonts w:ascii="Times New Roman"/>
          <w:b w:val="false"/>
          <w:i w:val="false"/>
          <w:color w:val="000000"/>
          <w:sz w:val="28"/>
        </w:rPr>
        <w:t>
      заемщики связаны между собой по другим основаниям, предусмотренным законодательными актами Республики Казахстан;</w:t>
      </w:r>
    </w:p>
    <w:bookmarkEnd w:id="55"/>
    <w:bookmarkStart w:name="z65" w:id="56"/>
    <w:p>
      <w:pPr>
        <w:spacing w:after="0"/>
        <w:ind w:left="0"/>
        <w:jc w:val="both"/>
      </w:pPr>
      <w:r>
        <w:rPr>
          <w:rFonts w:ascii="Times New Roman"/>
          <w:b w:val="false"/>
          <w:i w:val="false"/>
          <w:color w:val="000000"/>
          <w:sz w:val="28"/>
        </w:rPr>
        <w:t>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настоящем абзаце, не принимается в совокупный расчет размера риска как на одного заемщика в соответствии с абзацами вторым, третьим, четвертым, пятым, шестым, седьмым, восьмым, девятым, десятым, одиннадцатым, двенадцатым, тринадцатым, четырнадцатым, пятнадцатым и шестнадцатым части второй настоящего пункта Нормативов для группы, образованной с участием физических лиц - долевых участников по строительству строящегося объекта и (или) гарантов долевых участников.";</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67" w:id="57"/>
    <w:p>
      <w:pPr>
        <w:spacing w:after="0"/>
        <w:ind w:left="0"/>
        <w:jc w:val="both"/>
      </w:pPr>
      <w:r>
        <w:rPr>
          <w:rFonts w:ascii="Times New Roman"/>
          <w:b w:val="false"/>
          <w:i w:val="false"/>
          <w:color w:val="000000"/>
          <w:sz w:val="28"/>
        </w:rPr>
        <w:t>
      "53. Капитализация банков к обязательствам перед нерезидентами Республики Казахстан характеризуется коэффициентом k7. Максимальное значение коэффициента устанавливается в размере 1.</w:t>
      </w:r>
    </w:p>
    <w:bookmarkEnd w:id="57"/>
    <w:bookmarkStart w:name="z68" w:id="58"/>
    <w:p>
      <w:pPr>
        <w:spacing w:after="0"/>
        <w:ind w:left="0"/>
        <w:jc w:val="both"/>
      </w:pPr>
      <w:r>
        <w:rPr>
          <w:rFonts w:ascii="Times New Roman"/>
          <w:b w:val="false"/>
          <w:i w:val="false"/>
          <w:color w:val="000000"/>
          <w:sz w:val="28"/>
        </w:rPr>
        <w:t>
      Коэффициент k7 рассчитывается как отношение суммы краткосрочных обязательств перед нерезидентами Республики Казахстан к собственному капиталу банка.</w:t>
      </w:r>
    </w:p>
    <w:bookmarkEnd w:id="58"/>
    <w:bookmarkStart w:name="z69" w:id="59"/>
    <w:p>
      <w:pPr>
        <w:spacing w:after="0"/>
        <w:ind w:left="0"/>
        <w:jc w:val="both"/>
      </w:pPr>
      <w:r>
        <w:rPr>
          <w:rFonts w:ascii="Times New Roman"/>
          <w:b w:val="false"/>
          <w:i w:val="false"/>
          <w:color w:val="000000"/>
          <w:sz w:val="28"/>
        </w:rPr>
        <w:t>
      В целях расчета данного коэффициента в сумму обязательств перед нерезидентами Республики Казахстан включаются:</w:t>
      </w:r>
    </w:p>
    <w:bookmarkEnd w:id="59"/>
    <w:bookmarkStart w:name="z70" w:id="60"/>
    <w:p>
      <w:pPr>
        <w:spacing w:after="0"/>
        <w:ind w:left="0"/>
        <w:jc w:val="both"/>
      </w:pPr>
      <w:r>
        <w:rPr>
          <w:rFonts w:ascii="Times New Roman"/>
          <w:b w:val="false"/>
          <w:i w:val="false"/>
          <w:color w:val="000000"/>
          <w:sz w:val="28"/>
        </w:rPr>
        <w:t>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bookmarkEnd w:id="60"/>
    <w:bookmarkStart w:name="z71" w:id="61"/>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первоначальным сроком погашения до 1 (одного) года включительно;</w:t>
      </w:r>
    </w:p>
    <w:bookmarkEnd w:id="61"/>
    <w:bookmarkStart w:name="z72" w:id="62"/>
    <w:p>
      <w:pPr>
        <w:spacing w:after="0"/>
        <w:ind w:left="0"/>
        <w:jc w:val="both"/>
      </w:pPr>
      <w:r>
        <w:rPr>
          <w:rFonts w:ascii="Times New Roman"/>
          <w:b w:val="false"/>
          <w:i w:val="false"/>
          <w:color w:val="000000"/>
          <w:sz w:val="28"/>
        </w:rPr>
        <w:t>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bookmarkEnd w:id="62"/>
    <w:bookmarkStart w:name="z73" w:id="63"/>
    <w:p>
      <w:pPr>
        <w:spacing w:after="0"/>
        <w:ind w:left="0"/>
        <w:jc w:val="both"/>
      </w:pPr>
      <w:r>
        <w:rPr>
          <w:rFonts w:ascii="Times New Roman"/>
          <w:b w:val="false"/>
          <w:i w:val="false"/>
          <w:color w:val="000000"/>
          <w:sz w:val="28"/>
        </w:rPr>
        <w:t>
      В целях расчета данного коэффициента из суммы обязательств перед нерезидентами Республики Казахстан исключаются:</w:t>
      </w:r>
    </w:p>
    <w:bookmarkEnd w:id="63"/>
    <w:bookmarkStart w:name="z74" w:id="64"/>
    <w:p>
      <w:pPr>
        <w:spacing w:after="0"/>
        <w:ind w:left="0"/>
        <w:jc w:val="both"/>
      </w:pPr>
      <w:r>
        <w:rPr>
          <w:rFonts w:ascii="Times New Roman"/>
          <w:b w:val="false"/>
          <w:i w:val="false"/>
          <w:color w:val="000000"/>
          <w:sz w:val="28"/>
        </w:rPr>
        <w:t>
      текущие счета юридических лиц-нерезидентов;</w:t>
      </w:r>
    </w:p>
    <w:bookmarkEnd w:id="64"/>
    <w:bookmarkStart w:name="z75" w:id="65"/>
    <w:p>
      <w:pPr>
        <w:spacing w:after="0"/>
        <w:ind w:left="0"/>
        <w:jc w:val="both"/>
      </w:pPr>
      <w:r>
        <w:rPr>
          <w:rFonts w:ascii="Times New Roman"/>
          <w:b w:val="false"/>
          <w:i w:val="false"/>
          <w:color w:val="000000"/>
          <w:sz w:val="28"/>
        </w:rPr>
        <w:t xml:space="preserve">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код "5" - другие финансовые организации, код "6" - государственные нефинансовые организации, код "7" - негосударственные нефинансовые организации и код "8" - некоммерческие организации, обслуживающие домашние хозяйства,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Реестре государственной регистрации нормативных правовых актов под № 17274;</w:t>
      </w:r>
    </w:p>
    <w:bookmarkEnd w:id="65"/>
    <w:bookmarkStart w:name="z76" w:id="66"/>
    <w:p>
      <w:pPr>
        <w:spacing w:after="0"/>
        <w:ind w:left="0"/>
        <w:jc w:val="both"/>
      </w:pP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финансовыми организациями;</w:t>
      </w:r>
    </w:p>
    <w:bookmarkEnd w:id="66"/>
    <w:bookmarkStart w:name="z77" w:id="67"/>
    <w:p>
      <w:pPr>
        <w:spacing w:after="0"/>
        <w:ind w:left="0"/>
        <w:jc w:val="both"/>
      </w:pP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расчетными системами (ClearstreamBanking S.A. (Клирстрим Банкинг) и EuroclearBankSA/NV (Евроклир Банк).";</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активов</w:t>
      </w:r>
      <w:r>
        <w:rPr>
          <w:rFonts w:ascii="Times New Roman"/>
          <w:b w:val="false"/>
          <w:i w:val="false"/>
          <w:color w:val="000000"/>
          <w:sz w:val="28"/>
        </w:rPr>
        <w:t xml:space="preserve"> банка, взвешенных по степени кредитного риска вложений, согласно приложению 2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нормативных правовых актов Республики Казахстан по вопросам регулирования банковской деятельности, в которые вносятся изменения (далее – Перечень).</w:t>
      </w:r>
    </w:p>
    <w:bookmarkStart w:name="z79" w:id="6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следующие изменения:</w:t>
      </w:r>
    </w:p>
    <w:bookmarkEnd w:id="68"/>
    <w:bookmarkStart w:name="z80"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Нормативных значениях</w:t>
      </w:r>
      <w:r>
        <w:rPr>
          <w:rFonts w:ascii="Times New Roman"/>
          <w:b w:val="false"/>
          <w:i w:val="false"/>
          <w:color w:val="000000"/>
          <w:sz w:val="28"/>
        </w:rPr>
        <w:t xml:space="preserve"> и методиках расчетов пруденциальных нормативов и иных обязательных к соблюдению норм и лимитов, размере капитала банка, утвержденных указанным постановлением:</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82" w:id="70"/>
    <w:p>
      <w:pPr>
        <w:spacing w:after="0"/>
        <w:ind w:left="0"/>
        <w:jc w:val="both"/>
      </w:pPr>
      <w:r>
        <w:rPr>
          <w:rFonts w:ascii="Times New Roman"/>
          <w:b w:val="false"/>
          <w:i w:val="false"/>
          <w:color w:val="000000"/>
          <w:sz w:val="28"/>
        </w:rPr>
        <w:t xml:space="preserve">
      "54. Под термином "один заемщик" следует понимать каждое физическое или юридическое лицо, к которому у банка имеются требования или возникают требования, указанные в </w:t>
      </w:r>
      <w:r>
        <w:rPr>
          <w:rFonts w:ascii="Times New Roman"/>
          <w:b w:val="false"/>
          <w:i w:val="false"/>
          <w:color w:val="000000"/>
          <w:sz w:val="28"/>
        </w:rPr>
        <w:t>пункте 57</w:t>
      </w:r>
      <w:r>
        <w:rPr>
          <w:rFonts w:ascii="Times New Roman"/>
          <w:b w:val="false"/>
          <w:i w:val="false"/>
          <w:color w:val="000000"/>
          <w:sz w:val="28"/>
        </w:rPr>
        <w:t xml:space="preserve"> Нормативов. Размер риска для группы, состоящей из 2 (двух) или более заемщиков, рассчитывается в совокупности, как на 1 (одного) заемщика, если размеры риска каждого из заемщиков превышают 0,05 (ноль целых пять сотых) процента собственного капитала банка, а также при наличии одного из следующих обстоятельств:</w:t>
      </w:r>
    </w:p>
    <w:bookmarkEnd w:id="70"/>
    <w:bookmarkStart w:name="z83" w:id="71"/>
    <w:p>
      <w:pPr>
        <w:spacing w:after="0"/>
        <w:ind w:left="0"/>
        <w:jc w:val="both"/>
      </w:pPr>
      <w:r>
        <w:rPr>
          <w:rFonts w:ascii="Times New Roman"/>
          <w:b w:val="false"/>
          <w:i w:val="false"/>
          <w:color w:val="000000"/>
          <w:sz w:val="28"/>
        </w:rPr>
        <w:t>
      1) один из заемщиков является крупным участником (крупным участником в акционерном обществе, товариществе с ограниченной ответственностью или товариществе с дополнительной ответственностью; полным товарищем в коммандитном товариществе; участником в полном товариществе), аффилированным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 (супругой), близким родственником супруга (супруги), первым руководителем другого заемщика, либо лицом, заинтересованным в совершении сделки другим заемщиком;</w:t>
      </w:r>
    </w:p>
    <w:bookmarkEnd w:id="71"/>
    <w:bookmarkStart w:name="z84" w:id="72"/>
    <w:p>
      <w:pPr>
        <w:spacing w:after="0"/>
        <w:ind w:left="0"/>
        <w:jc w:val="both"/>
      </w:pPr>
      <w:r>
        <w:rPr>
          <w:rFonts w:ascii="Times New Roman"/>
          <w:b w:val="false"/>
          <w:i w:val="false"/>
          <w:color w:val="000000"/>
          <w:sz w:val="28"/>
        </w:rPr>
        <w:t>
      2) крупный участник, аффилированное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одним заемщиком, является крупным участником, аффилированным лицом, близким родственником, супругом (супругой), близким родственником супруга (супруги) или первым руководителем другого заемщика, либо лицом, заинтересованным в совершении сделки другим заемщиком;</w:t>
      </w:r>
    </w:p>
    <w:bookmarkEnd w:id="72"/>
    <w:bookmarkStart w:name="z85" w:id="73"/>
    <w:p>
      <w:pPr>
        <w:spacing w:after="0"/>
        <w:ind w:left="0"/>
        <w:jc w:val="both"/>
      </w:pPr>
      <w:r>
        <w:rPr>
          <w:rFonts w:ascii="Times New Roman"/>
          <w:b w:val="false"/>
          <w:i w:val="false"/>
          <w:color w:val="000000"/>
          <w:sz w:val="28"/>
        </w:rPr>
        <w:t>
      3) крупный участник, аффилированное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с одним заемщиком, является крупным участником, аффилированным лицом, близким родственником, супругом (супругой), близким родственником супруга (супруги) или первым руководителем либо лицом, заинтересованным в совершении сделки, крупного участника, аффилированного лица, близкого родственника, супруга (супруги), близкого родственника супруга (супруги) или первого руководителя другого заемщика либо лица, заинтересованного в совершении сделки другим заемщиком;</w:t>
      </w:r>
    </w:p>
    <w:bookmarkEnd w:id="73"/>
    <w:bookmarkStart w:name="z86" w:id="74"/>
    <w:p>
      <w:pPr>
        <w:spacing w:after="0"/>
        <w:ind w:left="0"/>
        <w:jc w:val="both"/>
      </w:pPr>
      <w:r>
        <w:rPr>
          <w:rFonts w:ascii="Times New Roman"/>
          <w:b w:val="false"/>
          <w:i w:val="false"/>
          <w:color w:val="000000"/>
          <w:sz w:val="28"/>
        </w:rPr>
        <w:t>
      4) имеются достаточные основания, подтверждающие, что один из заемщиков передал другому в пользование деньги, полученные им от банка в заем, в размере, превышающем собственный капитал передающего заемщика;</w:t>
      </w:r>
    </w:p>
    <w:bookmarkEnd w:id="74"/>
    <w:bookmarkStart w:name="z87" w:id="75"/>
    <w:p>
      <w:pPr>
        <w:spacing w:after="0"/>
        <w:ind w:left="0"/>
        <w:jc w:val="both"/>
      </w:pPr>
      <w:r>
        <w:rPr>
          <w:rFonts w:ascii="Times New Roman"/>
          <w:b w:val="false"/>
          <w:i w:val="false"/>
          <w:color w:val="000000"/>
          <w:sz w:val="28"/>
        </w:rPr>
        <w:t>
      5) имеются достаточные основания, подтверждающие, что заемщики совместно или по отдельности передали средства, полученные от банка в заем, в размере, превышающем совокупный собственный капитал данных заемщиков, в пользование одному и тому же третьему лицу, не являющемуся заемщиком банка;</w:t>
      </w:r>
    </w:p>
    <w:bookmarkEnd w:id="75"/>
    <w:bookmarkStart w:name="z88" w:id="76"/>
    <w:p>
      <w:pPr>
        <w:spacing w:after="0"/>
        <w:ind w:left="0"/>
        <w:jc w:val="both"/>
      </w:pPr>
      <w:r>
        <w:rPr>
          <w:rFonts w:ascii="Times New Roman"/>
          <w:b w:val="false"/>
          <w:i w:val="false"/>
          <w:color w:val="000000"/>
          <w:sz w:val="28"/>
        </w:rPr>
        <w:t>
      6) заемщики связаны таким образом, что один из заемщиков (за исключением банков Республики Казахстан) несет солидарную либо субсидиарную ответственность в сумме, превышающей 10 (десять) процентов его активов, по обязательствам другого заемщика;</w:t>
      </w:r>
    </w:p>
    <w:bookmarkEnd w:id="76"/>
    <w:bookmarkStart w:name="z89" w:id="77"/>
    <w:p>
      <w:pPr>
        <w:spacing w:after="0"/>
        <w:ind w:left="0"/>
        <w:jc w:val="both"/>
      </w:pPr>
      <w:r>
        <w:rPr>
          <w:rFonts w:ascii="Times New Roman"/>
          <w:b w:val="false"/>
          <w:i w:val="false"/>
          <w:color w:val="000000"/>
          <w:sz w:val="28"/>
        </w:rPr>
        <w:t>
      7) должностное лицо одного заемщика имеет финансовую заинтересованность в деятельности других заемщиков банка;</w:t>
      </w:r>
    </w:p>
    <w:bookmarkEnd w:id="77"/>
    <w:bookmarkStart w:name="z90" w:id="78"/>
    <w:p>
      <w:pPr>
        <w:spacing w:after="0"/>
        <w:ind w:left="0"/>
        <w:jc w:val="both"/>
      </w:pPr>
      <w:r>
        <w:rPr>
          <w:rFonts w:ascii="Times New Roman"/>
          <w:b w:val="false"/>
          <w:i w:val="false"/>
          <w:color w:val="000000"/>
          <w:sz w:val="28"/>
        </w:rPr>
        <w:t>
      8) заемщики связаны между собой договором о совместной деятельности либо иным документом, который содержит признаки договора о совместной деятельности;</w:t>
      </w:r>
    </w:p>
    <w:bookmarkEnd w:id="78"/>
    <w:bookmarkStart w:name="z91" w:id="79"/>
    <w:p>
      <w:pPr>
        <w:spacing w:after="0"/>
        <w:ind w:left="0"/>
        <w:jc w:val="both"/>
      </w:pPr>
      <w:r>
        <w:rPr>
          <w:rFonts w:ascii="Times New Roman"/>
          <w:b w:val="false"/>
          <w:i w:val="false"/>
          <w:color w:val="000000"/>
          <w:sz w:val="28"/>
        </w:rPr>
        <w:t>
      9) заемщики связаны таким образом, что их обязательства обеспечены общим залоговым имуществом, принадлежащим третьему лицу, либо в качестве обеспечения по их обязательствам предоставлена гарантия и (или) поручительство одного и того же лица, за исключением случаев наличия общего обеспечения, предоставленного в виде страховых полисов, резервных аккредитивов, поручительств, а также гарантий акционерного общества "Фонд развития предпринимательства "ДАМУ", акционерного общества "Фонд национального благосостояния "Самрук-Қазына", акционерного общества "Национальный управляющий холдинг "Байтерек" и их дочерних организаций, акционерного общества "Фонд проблемных кредитов", институтов развития и поддержки предпринимательства Республики Казахстан, национальной компании, осуществляющей функции по поддержке экспорта, международных финансовых организаций, финансовых организаций, банков-нерезидентов Республики Казахстан, имеющих рейтинг не ниже "B" агентства Standard &amp; Poor's (Стандард энд Пурс) или рейтинг аналогичного уровня одного из других рейтинговых агентств;</w:t>
      </w:r>
    </w:p>
    <w:bookmarkEnd w:id="79"/>
    <w:bookmarkStart w:name="z92" w:id="80"/>
    <w:p>
      <w:pPr>
        <w:spacing w:after="0"/>
        <w:ind w:left="0"/>
        <w:jc w:val="both"/>
      </w:pPr>
      <w:r>
        <w:rPr>
          <w:rFonts w:ascii="Times New Roman"/>
          <w:b w:val="false"/>
          <w:i w:val="false"/>
          <w:color w:val="000000"/>
          <w:sz w:val="28"/>
        </w:rPr>
        <w:t>
      10) заемщики связаны таким образом, что один из заемщиков предоставил залоговое имущество, гарантию, поручительство в обеспечение обязательств другого заемщика, за исключением случаев наличия обеспечения, предоставленного в виде страховых полисов, резервных аккредитивов, поручительств, а также гарантий акционерного общества "Фонд развития предпринимательства "ДАМУ", акционерного общества "Фонд национального благосостояния "Самрук-Қазына", акционерного общества "Национальный управляющий холдинг "Байтерек" и их дочерних организаций, акционерного общества "Фонд проблемных кредитов", институтов развития и поддержки предпринимательства Республики Казахстан, национальной компании, осуществляющей функции по поддержке экспорта, международных финансовых организаций, финансовых организаций, банков-нерезидентов Республики Казахстан, имеющих рейтинг не ниже "B" агентства Standard &amp; Poor's (Стандард энд Пурс) или рейтинг аналогичного уровня одного из других рейтинговых агентств;</w:t>
      </w:r>
    </w:p>
    <w:bookmarkEnd w:id="80"/>
    <w:bookmarkStart w:name="z93" w:id="81"/>
    <w:p>
      <w:pPr>
        <w:spacing w:after="0"/>
        <w:ind w:left="0"/>
        <w:jc w:val="both"/>
      </w:pPr>
      <w:r>
        <w:rPr>
          <w:rFonts w:ascii="Times New Roman"/>
          <w:b w:val="false"/>
          <w:i w:val="false"/>
          <w:color w:val="000000"/>
          <w:sz w:val="28"/>
        </w:rPr>
        <w:t>
      11) заемщики:</w:t>
      </w:r>
    </w:p>
    <w:bookmarkEnd w:id="81"/>
    <w:bookmarkStart w:name="z94" w:id="82"/>
    <w:p>
      <w:pPr>
        <w:spacing w:after="0"/>
        <w:ind w:left="0"/>
        <w:jc w:val="both"/>
      </w:pPr>
      <w:r>
        <w:rPr>
          <w:rFonts w:ascii="Times New Roman"/>
          <w:b w:val="false"/>
          <w:i w:val="false"/>
          <w:color w:val="000000"/>
          <w:sz w:val="28"/>
        </w:rPr>
        <w:t>
      являются юридическими лицами, зарегистрированными на территории следующих государств: княжество Андорра, княжество Лихтенштейн, Республика Либерия, княжество Монако, Маршалловы острова (Республика Маршалловы острова), или их гражданами, либо;</w:t>
      </w:r>
    </w:p>
    <w:bookmarkEnd w:id="82"/>
    <w:bookmarkStart w:name="z95" w:id="83"/>
    <w:p>
      <w:pPr>
        <w:spacing w:after="0"/>
        <w:ind w:left="0"/>
        <w:jc w:val="both"/>
      </w:pPr>
      <w:r>
        <w:rPr>
          <w:rFonts w:ascii="Times New Roman"/>
          <w:b w:val="false"/>
          <w:i w:val="false"/>
          <w:color w:val="000000"/>
          <w:sz w:val="28"/>
        </w:rPr>
        <w:t>
      являются юридическими лицами, зарегистрированными на территории государств, отнесенных Организацией экономического сотрудничества и развития к перечню оффшорных территорий, не принявших обязательств по информационному обмену, или их гражданами, либо;</w:t>
      </w:r>
    </w:p>
    <w:bookmarkEnd w:id="83"/>
    <w:bookmarkStart w:name="z96" w:id="84"/>
    <w:p>
      <w:pPr>
        <w:spacing w:after="0"/>
        <w:ind w:left="0"/>
        <w:jc w:val="both"/>
      </w:pPr>
      <w:r>
        <w:rPr>
          <w:rFonts w:ascii="Times New Roman"/>
          <w:b w:val="false"/>
          <w:i w:val="false"/>
          <w:color w:val="000000"/>
          <w:sz w:val="28"/>
        </w:rPr>
        <w:t>
      имеют крупных участников, аффилированных лиц, близких родственников, первых руководителей либо лиц, заинтересованных в совершении сделок с данными заемщиками, зарегистрированными или являющимися гражданами государств, указанных в абзацах втором и третьем настоящего подпункта;</w:t>
      </w:r>
    </w:p>
    <w:bookmarkEnd w:id="84"/>
    <w:bookmarkStart w:name="z97" w:id="85"/>
    <w:p>
      <w:pPr>
        <w:spacing w:after="0"/>
        <w:ind w:left="0"/>
        <w:jc w:val="both"/>
      </w:pPr>
      <w:r>
        <w:rPr>
          <w:rFonts w:ascii="Times New Roman"/>
          <w:b w:val="false"/>
          <w:i w:val="false"/>
          <w:color w:val="000000"/>
          <w:sz w:val="28"/>
        </w:rPr>
        <w:t>
      12) заемщики связаны между собой по другим основаниям, предусмотренным законодательными актами Республики Казахстан;</w:t>
      </w:r>
    </w:p>
    <w:bookmarkEnd w:id="85"/>
    <w:bookmarkStart w:name="z98" w:id="86"/>
    <w:p>
      <w:pPr>
        <w:spacing w:after="0"/>
        <w:ind w:left="0"/>
        <w:jc w:val="both"/>
      </w:pPr>
      <w:r>
        <w:rPr>
          <w:rFonts w:ascii="Times New Roman"/>
          <w:b w:val="false"/>
          <w:i w:val="false"/>
          <w:color w:val="000000"/>
          <w:sz w:val="28"/>
        </w:rPr>
        <w:t>
      13)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данном подпункте, не принимается в совокупный расчет размера риска как на одного заемщика в соответствии с подпунктами 1), 2), 3), 4), 5), 6), 7), 8), 9), 10), 11) и 12) настоящего пункта для группы, образованной с участием физических лиц - долевых участников по строительству строящегося объекта и (или) гарантов долевых участников.";</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w:t>
      </w:r>
      <w:r>
        <w:rPr>
          <w:rFonts w:ascii="Times New Roman"/>
          <w:b w:val="false"/>
          <w:i w:val="false"/>
          <w:color w:val="000000"/>
          <w:sz w:val="28"/>
        </w:rPr>
        <w:t xml:space="preserve"> изложить в следующей редакции:</w:t>
      </w:r>
    </w:p>
    <w:bookmarkStart w:name="z100" w:id="87"/>
    <w:p>
      <w:pPr>
        <w:spacing w:after="0"/>
        <w:ind w:left="0"/>
        <w:jc w:val="both"/>
      </w:pPr>
      <w:r>
        <w:rPr>
          <w:rFonts w:ascii="Times New Roman"/>
          <w:b w:val="false"/>
          <w:i w:val="false"/>
          <w:color w:val="000000"/>
          <w:sz w:val="28"/>
        </w:rPr>
        <w:t>
      "88. Внутренние активы банка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 - 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 требования к нерезидентам Республики Казахстан по займам, выданным для финансирования экспорта обработанных товаров и услуг из Республики Казахстан, обеспеченные договорами страхования, содержащими пункты о безусловном и безотзывном исполнении обязательств по страховой выплате, заключенными с национальной компанией, осуществляющей функции по поддержке экспорта и имеющей государственную гарантию Правительства Республики Казахстан, а также облигации международных финансовых организаций, выпущенные в тенге и торгуемые в торговой системе акционерного общества "Казахстанская фондовая биржа".</w:t>
      </w:r>
    </w:p>
    <w:bookmarkEnd w:id="87"/>
    <w:bookmarkStart w:name="z101" w:id="88"/>
    <w:p>
      <w:pPr>
        <w:spacing w:after="0"/>
        <w:ind w:left="0"/>
        <w:jc w:val="both"/>
      </w:pPr>
      <w:r>
        <w:rPr>
          <w:rFonts w:ascii="Times New Roman"/>
          <w:b w:val="false"/>
          <w:i w:val="false"/>
          <w:color w:val="000000"/>
          <w:sz w:val="28"/>
        </w:rPr>
        <w:t>
      Внутренние обязательства банка представляют собой обязательства перед резидентами Республики Казахстан, за исключением субординированного долга, бессрочных финансовых инструментов, выпущенных банком долговых ценных бумаг и неинвестированных остатков средств, принятых банком на основании кастодиального договора.</w:t>
      </w:r>
    </w:p>
    <w:bookmarkEnd w:id="88"/>
    <w:bookmarkStart w:name="z102" w:id="89"/>
    <w:p>
      <w:pPr>
        <w:spacing w:after="0"/>
        <w:ind w:left="0"/>
        <w:jc w:val="both"/>
      </w:pPr>
      <w:r>
        <w:rPr>
          <w:rFonts w:ascii="Times New Roman"/>
          <w:b w:val="false"/>
          <w:i w:val="false"/>
          <w:color w:val="000000"/>
          <w:sz w:val="28"/>
        </w:rPr>
        <w:t xml:space="preserve">
      Для целей расчета коэффициента по размещению части средств банков во внутренние активы согласно </w:t>
      </w:r>
      <w:r>
        <w:rPr>
          <w:rFonts w:ascii="Times New Roman"/>
          <w:b w:val="false"/>
          <w:i w:val="false"/>
          <w:color w:val="000000"/>
          <w:sz w:val="28"/>
        </w:rPr>
        <w:t>пунктам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Нормативов используется наименьшее значение из нижеследующих:</w:t>
      </w:r>
    </w:p>
    <w:bookmarkEnd w:id="89"/>
    <w:bookmarkStart w:name="z103" w:id="90"/>
    <w:p>
      <w:pPr>
        <w:spacing w:after="0"/>
        <w:ind w:left="0"/>
        <w:jc w:val="both"/>
      </w:pPr>
      <w:r>
        <w:rPr>
          <w:rFonts w:ascii="Times New Roman"/>
          <w:b w:val="false"/>
          <w:i w:val="false"/>
          <w:color w:val="000000"/>
          <w:sz w:val="28"/>
        </w:rPr>
        <w:t>
      уставного капитала либо;</w:t>
      </w:r>
    </w:p>
    <w:bookmarkEnd w:id="90"/>
    <w:bookmarkStart w:name="z104" w:id="91"/>
    <w:p>
      <w:pPr>
        <w:spacing w:after="0"/>
        <w:ind w:left="0"/>
        <w:jc w:val="both"/>
      </w:pPr>
      <w:r>
        <w:rPr>
          <w:rFonts w:ascii="Times New Roman"/>
          <w:b w:val="false"/>
          <w:i w:val="false"/>
          <w:color w:val="000000"/>
          <w:sz w:val="28"/>
        </w:rPr>
        <w:t>
      собственного капитала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умноженное на 0,75.";</w:t>
      </w:r>
    </w:p>
    <w:bookmarkEnd w:id="91"/>
    <w:bookmarkStart w:name="z105" w:id="92"/>
    <w:p>
      <w:pPr>
        <w:spacing w:after="0"/>
        <w:ind w:left="0"/>
        <w:jc w:val="both"/>
      </w:pPr>
      <w:r>
        <w:rPr>
          <w:rFonts w:ascii="Times New Roman"/>
          <w:b w:val="false"/>
          <w:i w:val="false"/>
          <w:color w:val="000000"/>
          <w:sz w:val="28"/>
        </w:rPr>
        <w:t xml:space="preserve">
      Таблицу активов банка, взвешенных по степени кредитного риска вложений, согласно приложению 5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End w:id="92"/>
    <w:bookmarkStart w:name="z106" w:id="9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16502) следующие изменения:</w:t>
      </w:r>
    </w:p>
    <w:bookmarkEnd w:id="93"/>
    <w:bookmarkStart w:name="z107" w:id="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утвержденных указанным постановлением: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9" w:id="95"/>
    <w:p>
      <w:pPr>
        <w:spacing w:after="0"/>
        <w:ind w:left="0"/>
        <w:jc w:val="both"/>
      </w:pPr>
      <w:r>
        <w:rPr>
          <w:rFonts w:ascii="Times New Roman"/>
          <w:b w:val="false"/>
          <w:i w:val="false"/>
          <w:color w:val="000000"/>
          <w:sz w:val="28"/>
        </w:rPr>
        <w:t>
      "2. В Правилах используются следующие понятия:</w:t>
      </w:r>
    </w:p>
    <w:bookmarkEnd w:id="95"/>
    <w:bookmarkStart w:name="z110" w:id="96"/>
    <w:p>
      <w:pPr>
        <w:spacing w:after="0"/>
        <w:ind w:left="0"/>
        <w:jc w:val="both"/>
      </w:pPr>
      <w:r>
        <w:rPr>
          <w:rFonts w:ascii="Times New Roman"/>
          <w:b w:val="false"/>
          <w:i w:val="false"/>
          <w:color w:val="000000"/>
          <w:sz w:val="28"/>
        </w:rPr>
        <w:t>
      1) недополучение денег – разница между денежными потоками, причитающимися финансовой организации в соответствии с договором, и денежными потоками, которые финансовая организация ожидает получить;</w:t>
      </w:r>
    </w:p>
    <w:bookmarkEnd w:id="96"/>
    <w:bookmarkStart w:name="z111" w:id="97"/>
    <w:p>
      <w:pPr>
        <w:spacing w:after="0"/>
        <w:ind w:left="0"/>
        <w:jc w:val="both"/>
      </w:pPr>
      <w:r>
        <w:rPr>
          <w:rFonts w:ascii="Times New Roman"/>
          <w:b w:val="false"/>
          <w:i w:val="false"/>
          <w:color w:val="000000"/>
          <w:sz w:val="28"/>
        </w:rPr>
        <w:t>
      2) задолженность - сумма непогашенного заемщиком требования в виде основного долга, начисленного вознаграждения и (или) иных выплат в соответствии с условиями договора займа;</w:t>
      </w:r>
    </w:p>
    <w:bookmarkEnd w:id="97"/>
    <w:bookmarkStart w:name="z112" w:id="98"/>
    <w:p>
      <w:pPr>
        <w:spacing w:after="0"/>
        <w:ind w:left="0"/>
        <w:jc w:val="both"/>
      </w:pPr>
      <w:r>
        <w:rPr>
          <w:rFonts w:ascii="Times New Roman"/>
          <w:b w:val="false"/>
          <w:i w:val="false"/>
          <w:color w:val="000000"/>
          <w:sz w:val="28"/>
        </w:rPr>
        <w:t>
      3) однородные финансовые активы – группа финансовых активов со сходными характеристиками кредитного риска;</w:t>
      </w:r>
    </w:p>
    <w:bookmarkEnd w:id="98"/>
    <w:bookmarkStart w:name="z113" w:id="99"/>
    <w:p>
      <w:pPr>
        <w:spacing w:after="0"/>
        <w:ind w:left="0"/>
        <w:jc w:val="both"/>
      </w:pPr>
      <w:r>
        <w:rPr>
          <w:rFonts w:ascii="Times New Roman"/>
          <w:b w:val="false"/>
          <w:i w:val="false"/>
          <w:color w:val="000000"/>
          <w:sz w:val="28"/>
        </w:rPr>
        <w:t>
      4) дефолт – наличие просроченного (просроченных) платежа (платежей) сроком более 90 (девяноста) календарных дней, либо наличие одной или более ситуаций, предусмотренных настоящим подпунктом. Для целей определения дефолта финансовая организация принимает следующие ситуации:</w:t>
      </w:r>
    </w:p>
    <w:bookmarkEnd w:id="99"/>
    <w:bookmarkStart w:name="z114" w:id="100"/>
    <w:p>
      <w:pPr>
        <w:spacing w:after="0"/>
        <w:ind w:left="0"/>
        <w:jc w:val="both"/>
      </w:pPr>
      <w:r>
        <w:rPr>
          <w:rFonts w:ascii="Times New Roman"/>
          <w:b w:val="false"/>
          <w:i w:val="false"/>
          <w:color w:val="000000"/>
          <w:sz w:val="28"/>
        </w:rPr>
        <w:t>
      наличие просроченной задолженности сроком более 90 (девяноста) дней по другим займам заемщика в банке;</w:t>
      </w:r>
    </w:p>
    <w:bookmarkEnd w:id="100"/>
    <w:bookmarkStart w:name="z115" w:id="101"/>
    <w:p>
      <w:pPr>
        <w:spacing w:after="0"/>
        <w:ind w:left="0"/>
        <w:jc w:val="both"/>
      </w:pPr>
      <w:r>
        <w:rPr>
          <w:rFonts w:ascii="Times New Roman"/>
          <w:b w:val="false"/>
          <w:i w:val="false"/>
          <w:color w:val="000000"/>
          <w:sz w:val="28"/>
        </w:rPr>
        <w:t>
      наличие просроченной задолженности сроком более 90 (девяноста) дней по займам в других банках, как показатель ухудшения финансового состояния заемщика;</w:t>
      </w:r>
    </w:p>
    <w:bookmarkEnd w:id="101"/>
    <w:bookmarkStart w:name="z116" w:id="102"/>
    <w:p>
      <w:pPr>
        <w:spacing w:after="0"/>
        <w:ind w:left="0"/>
        <w:jc w:val="both"/>
      </w:pPr>
      <w:r>
        <w:rPr>
          <w:rFonts w:ascii="Times New Roman"/>
          <w:b w:val="false"/>
          <w:i w:val="false"/>
          <w:color w:val="000000"/>
          <w:sz w:val="28"/>
        </w:rPr>
        <w:t>
      приостановление начисления вознаграждения по займу в связи с ухудшением финансового состояния заемщика;</w:t>
      </w:r>
    </w:p>
    <w:bookmarkEnd w:id="102"/>
    <w:bookmarkStart w:name="z117" w:id="103"/>
    <w:p>
      <w:pPr>
        <w:spacing w:after="0"/>
        <w:ind w:left="0"/>
        <w:jc w:val="both"/>
      </w:pPr>
      <w:r>
        <w:rPr>
          <w:rFonts w:ascii="Times New Roman"/>
          <w:b w:val="false"/>
          <w:i w:val="false"/>
          <w:color w:val="000000"/>
          <w:sz w:val="28"/>
        </w:rPr>
        <w:t>
      списание части и (или) всей суммы задолженности заемщика, которое вызвано значительным увеличением кредитного риска с момента предоставления займа;</w:t>
      </w:r>
    </w:p>
    <w:bookmarkEnd w:id="103"/>
    <w:bookmarkStart w:name="z118" w:id="104"/>
    <w:p>
      <w:pPr>
        <w:spacing w:after="0"/>
        <w:ind w:left="0"/>
        <w:jc w:val="both"/>
      </w:pPr>
      <w:r>
        <w:rPr>
          <w:rFonts w:ascii="Times New Roman"/>
          <w:b w:val="false"/>
          <w:i w:val="false"/>
          <w:color w:val="000000"/>
          <w:sz w:val="28"/>
        </w:rPr>
        <w:t>
      продажа займов со значительным дисконтом;</w:t>
      </w:r>
    </w:p>
    <w:bookmarkEnd w:id="104"/>
    <w:bookmarkStart w:name="z119" w:id="105"/>
    <w:p>
      <w:pPr>
        <w:spacing w:after="0"/>
        <w:ind w:left="0"/>
        <w:jc w:val="both"/>
      </w:pPr>
      <w:r>
        <w:rPr>
          <w:rFonts w:ascii="Times New Roman"/>
          <w:b w:val="false"/>
          <w:i w:val="false"/>
          <w:color w:val="000000"/>
          <w:sz w:val="28"/>
        </w:rPr>
        <w:t>
      вынужденная реструктуризация займа;</w:t>
      </w:r>
    </w:p>
    <w:bookmarkEnd w:id="105"/>
    <w:bookmarkStart w:name="z120" w:id="106"/>
    <w:p>
      <w:pPr>
        <w:spacing w:after="0"/>
        <w:ind w:left="0"/>
        <w:jc w:val="both"/>
      </w:pPr>
      <w:r>
        <w:rPr>
          <w:rFonts w:ascii="Times New Roman"/>
          <w:b w:val="false"/>
          <w:i w:val="false"/>
          <w:color w:val="000000"/>
          <w:sz w:val="28"/>
        </w:rPr>
        <w:t>
      подача иска о признании заемщика банкротом в соответствии с законодательством Республики Казахстан;</w:t>
      </w:r>
    </w:p>
    <w:bookmarkEnd w:id="106"/>
    <w:bookmarkStart w:name="z121" w:id="107"/>
    <w:p>
      <w:pPr>
        <w:spacing w:after="0"/>
        <w:ind w:left="0"/>
        <w:jc w:val="both"/>
      </w:pPr>
      <w:r>
        <w:rPr>
          <w:rFonts w:ascii="Times New Roman"/>
          <w:b w:val="false"/>
          <w:i w:val="false"/>
          <w:color w:val="000000"/>
          <w:sz w:val="28"/>
        </w:rPr>
        <w:t>
      обращение заемщика в суд с заявлением о признании его банкротом в соответствии с законодательством Республики Казахстан;</w:t>
      </w:r>
    </w:p>
    <w:bookmarkEnd w:id="107"/>
    <w:bookmarkStart w:name="z122" w:id="108"/>
    <w:p>
      <w:pPr>
        <w:spacing w:after="0"/>
        <w:ind w:left="0"/>
        <w:jc w:val="both"/>
      </w:pPr>
      <w:r>
        <w:rPr>
          <w:rFonts w:ascii="Times New Roman"/>
          <w:b w:val="false"/>
          <w:i w:val="false"/>
          <w:color w:val="000000"/>
          <w:sz w:val="28"/>
        </w:rPr>
        <w:t>
      иные ситуации, соответствующие международному стандарту финансовой отчетности 9 "Финансовые инструменты" (далее – МСФО 9) и предусмотренные Методикой расчета провизий (резервов), утвержденной в соответствии с Правилами;</w:t>
      </w:r>
    </w:p>
    <w:bookmarkEnd w:id="108"/>
    <w:bookmarkStart w:name="z123" w:id="109"/>
    <w:p>
      <w:pPr>
        <w:spacing w:after="0"/>
        <w:ind w:left="0"/>
        <w:jc w:val="both"/>
      </w:pPr>
      <w:r>
        <w:rPr>
          <w:rFonts w:ascii="Times New Roman"/>
          <w:b w:val="false"/>
          <w:i w:val="false"/>
          <w:color w:val="000000"/>
          <w:sz w:val="28"/>
        </w:rPr>
        <w:t>
      5) индивидуальный финансовый актив – финансовый актив, валовая балансовая стоимость которого на отчетную дату превышает 0,2 (ноль целых две десятых) процента от собственного капитала согласно данным финансовой отчетности, но не менее пятидесяти миллионов тенге, или финансовый актив, который представляет собой требование к взаимосвязанной стороне.</w:t>
      </w:r>
    </w:p>
    <w:bookmarkEnd w:id="109"/>
    <w:bookmarkStart w:name="z124" w:id="110"/>
    <w:p>
      <w:pPr>
        <w:spacing w:after="0"/>
        <w:ind w:left="0"/>
        <w:jc w:val="both"/>
      </w:pPr>
      <w:r>
        <w:rPr>
          <w:rFonts w:ascii="Times New Roman"/>
          <w:b w:val="false"/>
          <w:i w:val="false"/>
          <w:color w:val="000000"/>
          <w:sz w:val="28"/>
        </w:rPr>
        <w:t>
      Допускается установление финансовой организацией в дополнение к критериям, предусмотренным настоящим подпунктом, дополнительных критериев для отнесения финансового актива к индивидуальным.</w:t>
      </w:r>
    </w:p>
    <w:bookmarkEnd w:id="110"/>
    <w:bookmarkStart w:name="z125" w:id="111"/>
    <w:p>
      <w:pPr>
        <w:spacing w:after="0"/>
        <w:ind w:left="0"/>
        <w:jc w:val="both"/>
      </w:pPr>
      <w:r>
        <w:rPr>
          <w:rFonts w:ascii="Times New Roman"/>
          <w:b w:val="false"/>
          <w:i w:val="false"/>
          <w:color w:val="000000"/>
          <w:sz w:val="28"/>
        </w:rPr>
        <w:t>
      Допускается определение финансовой организацией иного соотношения валовой балансовой стоимости финансового актива к собственному капиталу, но не более 0,2 (ноль целых две десятых) процента от собственного капитала.</w:t>
      </w:r>
    </w:p>
    <w:bookmarkEnd w:id="111"/>
    <w:bookmarkStart w:name="z126" w:id="112"/>
    <w:p>
      <w:pPr>
        <w:spacing w:after="0"/>
        <w:ind w:left="0"/>
        <w:jc w:val="both"/>
      </w:pPr>
      <w:r>
        <w:rPr>
          <w:rFonts w:ascii="Times New Roman"/>
          <w:b w:val="false"/>
          <w:i w:val="false"/>
          <w:color w:val="000000"/>
          <w:sz w:val="28"/>
        </w:rPr>
        <w:t>
      Для филиалов банков-нерезидентов Республики Казахстан под собственным капиталом подразумевается сумма счета головного офиса, резервов и результатов деятельности филиала банка-нерезидента Республики Казахстан;</w:t>
      </w:r>
    </w:p>
    <w:bookmarkEnd w:id="112"/>
    <w:bookmarkStart w:name="z127" w:id="113"/>
    <w:p>
      <w:pPr>
        <w:spacing w:after="0"/>
        <w:ind w:left="0"/>
        <w:jc w:val="both"/>
      </w:pPr>
      <w:r>
        <w:rPr>
          <w:rFonts w:ascii="Times New Roman"/>
          <w:b w:val="false"/>
          <w:i w:val="false"/>
          <w:color w:val="000000"/>
          <w:sz w:val="28"/>
        </w:rPr>
        <w:t>
      6) контрагент – лицо по договору, не являющееся финансовой организацией, которая по этому договору формирует провизии (резервы);</w:t>
      </w:r>
    </w:p>
    <w:bookmarkEnd w:id="113"/>
    <w:bookmarkStart w:name="z128" w:id="114"/>
    <w:p>
      <w:pPr>
        <w:spacing w:after="0"/>
        <w:ind w:left="0"/>
        <w:jc w:val="both"/>
      </w:pPr>
      <w:r>
        <w:rPr>
          <w:rFonts w:ascii="Times New Roman"/>
          <w:b w:val="false"/>
          <w:i w:val="false"/>
          <w:color w:val="000000"/>
          <w:sz w:val="28"/>
        </w:rPr>
        <w:t>
      7) кредитно-обесцененный финансовый актив – финансовый актив, по которому выявлены признаки обесценения, соответствующие критериям МСФО 9;</w:t>
      </w:r>
    </w:p>
    <w:bookmarkEnd w:id="114"/>
    <w:bookmarkStart w:name="z129" w:id="115"/>
    <w:p>
      <w:pPr>
        <w:spacing w:after="0"/>
        <w:ind w:left="0"/>
        <w:jc w:val="both"/>
      </w:pPr>
      <w:r>
        <w:rPr>
          <w:rFonts w:ascii="Times New Roman"/>
          <w:b w:val="false"/>
          <w:i w:val="false"/>
          <w:color w:val="000000"/>
          <w:sz w:val="28"/>
        </w:rPr>
        <w:t>
      8) кредитный скоринг – оценка кредитоспособности заемщика, основанная на качественных и количественных характеристиках;</w:t>
      </w:r>
    </w:p>
    <w:bookmarkEnd w:id="115"/>
    <w:bookmarkStart w:name="z130" w:id="116"/>
    <w:p>
      <w:pPr>
        <w:spacing w:after="0"/>
        <w:ind w:left="0"/>
        <w:jc w:val="both"/>
      </w:pPr>
      <w:r>
        <w:rPr>
          <w:rFonts w:ascii="Times New Roman"/>
          <w:b w:val="false"/>
          <w:i w:val="false"/>
          <w:color w:val="000000"/>
          <w:sz w:val="28"/>
        </w:rPr>
        <w:t>
      9) амортизированная стоимость финансового актива – сумма, в которой оценивается финансовый актив при первоначальном признании, минус платежи в счет основной суммы долга, плюс (минус) величина накопленной амортизации дисконта (премии), рассчитанной с использованием метода эффективной процентной ставки, и скорректированная с учетом оценочного резерва под убытки;</w:t>
      </w:r>
    </w:p>
    <w:bookmarkEnd w:id="116"/>
    <w:bookmarkStart w:name="z131" w:id="117"/>
    <w:p>
      <w:pPr>
        <w:spacing w:after="0"/>
        <w:ind w:left="0"/>
        <w:jc w:val="both"/>
      </w:pPr>
      <w:r>
        <w:rPr>
          <w:rFonts w:ascii="Times New Roman"/>
          <w:b w:val="false"/>
          <w:i w:val="false"/>
          <w:color w:val="000000"/>
          <w:sz w:val="28"/>
        </w:rPr>
        <w:t>
      10) валовая балансовая стоимость финансового актива – амортизированная стоимость финансового актива до корректировки на величину оценочного резерва под убытки;</w:t>
      </w:r>
    </w:p>
    <w:bookmarkEnd w:id="117"/>
    <w:bookmarkStart w:name="z132" w:id="118"/>
    <w:p>
      <w:pPr>
        <w:spacing w:after="0"/>
        <w:ind w:left="0"/>
        <w:jc w:val="both"/>
      </w:pPr>
      <w:r>
        <w:rPr>
          <w:rFonts w:ascii="Times New Roman"/>
          <w:b w:val="false"/>
          <w:i w:val="false"/>
          <w:color w:val="000000"/>
          <w:sz w:val="28"/>
        </w:rPr>
        <w:t>
      11) реструктуризация займа - любое изменение порядка и условий договора займа с целью решения имеющихся или ожидаемых трудностей заемщика (созаемщика) по обслуживанию займа, в соответствии с любым из нижеперечисленных случаев:</w:t>
      </w:r>
    </w:p>
    <w:bookmarkEnd w:id="118"/>
    <w:bookmarkStart w:name="z133" w:id="119"/>
    <w:p>
      <w:pPr>
        <w:spacing w:after="0"/>
        <w:ind w:left="0"/>
        <w:jc w:val="both"/>
      </w:pPr>
      <w:r>
        <w:rPr>
          <w:rFonts w:ascii="Times New Roman"/>
          <w:b w:val="false"/>
          <w:i w:val="false"/>
          <w:color w:val="000000"/>
          <w:sz w:val="28"/>
        </w:rPr>
        <w:t>
      предоставление либо продление льготного периода по платежам основного долга и (или) вознаграждения в совокупности на срок более 30 (тридцати) календарных дней;</w:t>
      </w:r>
    </w:p>
    <w:bookmarkEnd w:id="119"/>
    <w:bookmarkStart w:name="z134" w:id="120"/>
    <w:p>
      <w:pPr>
        <w:spacing w:after="0"/>
        <w:ind w:left="0"/>
        <w:jc w:val="both"/>
      </w:pPr>
      <w:r>
        <w:rPr>
          <w:rFonts w:ascii="Times New Roman"/>
          <w:b w:val="false"/>
          <w:i w:val="false"/>
          <w:color w:val="000000"/>
          <w:sz w:val="28"/>
        </w:rPr>
        <w:t>
      продление срока займа;</w:t>
      </w:r>
    </w:p>
    <w:bookmarkEnd w:id="120"/>
    <w:bookmarkStart w:name="z135" w:id="121"/>
    <w:p>
      <w:pPr>
        <w:spacing w:after="0"/>
        <w:ind w:left="0"/>
        <w:jc w:val="both"/>
      </w:pPr>
      <w:r>
        <w:rPr>
          <w:rFonts w:ascii="Times New Roman"/>
          <w:b w:val="false"/>
          <w:i w:val="false"/>
          <w:color w:val="000000"/>
          <w:sz w:val="28"/>
        </w:rPr>
        <w:t>
      рефинансирование;</w:t>
      </w:r>
    </w:p>
    <w:bookmarkEnd w:id="121"/>
    <w:bookmarkStart w:name="z136" w:id="122"/>
    <w:p>
      <w:pPr>
        <w:spacing w:after="0"/>
        <w:ind w:left="0"/>
        <w:jc w:val="both"/>
      </w:pPr>
      <w:r>
        <w:rPr>
          <w:rFonts w:ascii="Times New Roman"/>
          <w:b w:val="false"/>
          <w:i w:val="false"/>
          <w:color w:val="000000"/>
          <w:sz w:val="28"/>
        </w:rPr>
        <w:t>
      перевод долга полный либо частично;</w:t>
      </w:r>
    </w:p>
    <w:bookmarkEnd w:id="122"/>
    <w:bookmarkStart w:name="z137" w:id="123"/>
    <w:p>
      <w:pPr>
        <w:spacing w:after="0"/>
        <w:ind w:left="0"/>
        <w:jc w:val="both"/>
      </w:pPr>
      <w:r>
        <w:rPr>
          <w:rFonts w:ascii="Times New Roman"/>
          <w:b w:val="false"/>
          <w:i w:val="false"/>
          <w:color w:val="000000"/>
          <w:sz w:val="28"/>
        </w:rPr>
        <w:t>
      списание или прощение части основного долга и (или) вознаграждения по займу;</w:t>
      </w:r>
    </w:p>
    <w:bookmarkEnd w:id="123"/>
    <w:bookmarkStart w:name="z138" w:id="124"/>
    <w:p>
      <w:pPr>
        <w:spacing w:after="0"/>
        <w:ind w:left="0"/>
        <w:jc w:val="both"/>
      </w:pPr>
      <w:r>
        <w:rPr>
          <w:rFonts w:ascii="Times New Roman"/>
          <w:b w:val="false"/>
          <w:i w:val="false"/>
          <w:color w:val="000000"/>
          <w:sz w:val="28"/>
        </w:rPr>
        <w:t>
      капитализация просроченных платежей по вознаграждению;</w:t>
      </w:r>
    </w:p>
    <w:bookmarkEnd w:id="124"/>
    <w:bookmarkStart w:name="z139" w:id="125"/>
    <w:p>
      <w:pPr>
        <w:spacing w:after="0"/>
        <w:ind w:left="0"/>
        <w:jc w:val="both"/>
      </w:pPr>
      <w:r>
        <w:rPr>
          <w:rFonts w:ascii="Times New Roman"/>
          <w:b w:val="false"/>
          <w:i w:val="false"/>
          <w:color w:val="000000"/>
          <w:sz w:val="28"/>
        </w:rPr>
        <w:t>
      изменение (конвертация) валюты займа с одной валюты на другую с капитализацией просроченной задолженности по вознаграждению;</w:t>
      </w:r>
    </w:p>
    <w:bookmarkEnd w:id="125"/>
    <w:bookmarkStart w:name="z140" w:id="126"/>
    <w:p>
      <w:pPr>
        <w:spacing w:after="0"/>
        <w:ind w:left="0"/>
        <w:jc w:val="both"/>
      </w:pPr>
      <w:r>
        <w:rPr>
          <w:rFonts w:ascii="Times New Roman"/>
          <w:b w:val="false"/>
          <w:i w:val="false"/>
          <w:color w:val="000000"/>
          <w:sz w:val="28"/>
        </w:rPr>
        <w:t>
      предоставление нового займа для оплаты просроченной и (или) непросроченной задолженности по займу в банке;</w:t>
      </w:r>
    </w:p>
    <w:bookmarkEnd w:id="126"/>
    <w:bookmarkStart w:name="z141" w:id="127"/>
    <w:p>
      <w:pPr>
        <w:spacing w:after="0"/>
        <w:ind w:left="0"/>
        <w:jc w:val="both"/>
      </w:pPr>
      <w:r>
        <w:rPr>
          <w:rFonts w:ascii="Times New Roman"/>
          <w:b w:val="false"/>
          <w:i w:val="false"/>
          <w:color w:val="000000"/>
          <w:sz w:val="28"/>
        </w:rPr>
        <w:t>
      увеличение кредитного лимита в случае наличия просроченной задолженности по займу;</w:t>
      </w:r>
    </w:p>
    <w:bookmarkEnd w:id="127"/>
    <w:bookmarkStart w:name="z142" w:id="128"/>
    <w:p>
      <w:pPr>
        <w:spacing w:after="0"/>
        <w:ind w:left="0"/>
        <w:jc w:val="both"/>
      </w:pPr>
      <w:r>
        <w:rPr>
          <w:rFonts w:ascii="Times New Roman"/>
          <w:b w:val="false"/>
          <w:i w:val="false"/>
          <w:color w:val="000000"/>
          <w:sz w:val="28"/>
        </w:rPr>
        <w:t>
      снижение фиксированной ставки вознаграждения по займу;</w:t>
      </w:r>
    </w:p>
    <w:bookmarkEnd w:id="128"/>
    <w:bookmarkStart w:name="z143" w:id="129"/>
    <w:p>
      <w:pPr>
        <w:spacing w:after="0"/>
        <w:ind w:left="0"/>
        <w:jc w:val="both"/>
      </w:pPr>
      <w:r>
        <w:rPr>
          <w:rFonts w:ascii="Times New Roman"/>
          <w:b w:val="false"/>
          <w:i w:val="false"/>
          <w:color w:val="000000"/>
          <w:sz w:val="28"/>
        </w:rPr>
        <w:t>
      снижение задолженности по займу в результате погашения суммы задолженности, за счет передаваемого финансовой организации залогового имущества заемщика.</w:t>
      </w:r>
    </w:p>
    <w:bookmarkEnd w:id="129"/>
    <w:bookmarkStart w:name="z144" w:id="130"/>
    <w:p>
      <w:pPr>
        <w:spacing w:after="0"/>
        <w:ind w:left="0"/>
        <w:jc w:val="both"/>
      </w:pPr>
      <w:r>
        <w:rPr>
          <w:rFonts w:ascii="Times New Roman"/>
          <w:b w:val="false"/>
          <w:i w:val="false"/>
          <w:color w:val="000000"/>
          <w:sz w:val="28"/>
        </w:rPr>
        <w:t>
      Под вынужденной реструктуризацией займа понимается реструктуризация займа, связанная с ухудшением финансового состояния заемщика за последние 12 (двенадцать) месяцев.</w:t>
      </w:r>
    </w:p>
    <w:bookmarkEnd w:id="130"/>
    <w:bookmarkStart w:name="z145" w:id="131"/>
    <w:p>
      <w:pPr>
        <w:spacing w:after="0"/>
        <w:ind w:left="0"/>
        <w:jc w:val="both"/>
      </w:pPr>
      <w:r>
        <w:rPr>
          <w:rFonts w:ascii="Times New Roman"/>
          <w:b w:val="false"/>
          <w:i w:val="false"/>
          <w:color w:val="000000"/>
          <w:sz w:val="28"/>
        </w:rPr>
        <w:t>
      Под ухудшением финансового состояния заемщика понимается возникновения одного или нескольких из нижеуказанных случаев:</w:t>
      </w:r>
    </w:p>
    <w:bookmarkEnd w:id="131"/>
    <w:bookmarkStart w:name="z146" w:id="132"/>
    <w:p>
      <w:pPr>
        <w:spacing w:after="0"/>
        <w:ind w:left="0"/>
        <w:jc w:val="both"/>
      </w:pPr>
      <w:r>
        <w:rPr>
          <w:rFonts w:ascii="Times New Roman"/>
          <w:b w:val="false"/>
          <w:i w:val="false"/>
          <w:color w:val="000000"/>
          <w:sz w:val="28"/>
        </w:rPr>
        <w:t>
      наличие ухудшения финансового состояния заемщика в соответствии с внутренней рейтинговой моделью;</w:t>
      </w:r>
    </w:p>
    <w:bookmarkEnd w:id="132"/>
    <w:bookmarkStart w:name="z147" w:id="133"/>
    <w:p>
      <w:pPr>
        <w:spacing w:after="0"/>
        <w:ind w:left="0"/>
        <w:jc w:val="both"/>
      </w:pPr>
      <w:r>
        <w:rPr>
          <w:rFonts w:ascii="Times New Roman"/>
          <w:b w:val="false"/>
          <w:i w:val="false"/>
          <w:color w:val="000000"/>
          <w:sz w:val="28"/>
        </w:rPr>
        <w:t>
      финансовая организация прогнозирует, что денежные потоки заемщика будут недостаточны для покрытия договорных обязательств перед финансовой организацией (включая основной долг и вознаграждение), за исключением случаев отсутствия ухудшения финансового состояния заемщика;</w:t>
      </w:r>
    </w:p>
    <w:bookmarkEnd w:id="133"/>
    <w:bookmarkStart w:name="z148" w:id="134"/>
    <w:p>
      <w:pPr>
        <w:spacing w:after="0"/>
        <w:ind w:left="0"/>
        <w:jc w:val="both"/>
      </w:pPr>
      <w:r>
        <w:rPr>
          <w:rFonts w:ascii="Times New Roman"/>
          <w:b w:val="false"/>
          <w:i w:val="false"/>
          <w:color w:val="000000"/>
          <w:sz w:val="28"/>
        </w:rPr>
        <w:t>
      наличие просроченной задолженности по основному долгу и (или) вознаграждению сроком более 30 (тридцати) календарных дней;</w:t>
      </w:r>
    </w:p>
    <w:bookmarkEnd w:id="134"/>
    <w:bookmarkStart w:name="z149" w:id="135"/>
    <w:p>
      <w:pPr>
        <w:spacing w:after="0"/>
        <w:ind w:left="0"/>
        <w:jc w:val="both"/>
      </w:pPr>
      <w:r>
        <w:rPr>
          <w:rFonts w:ascii="Times New Roman"/>
          <w:b w:val="false"/>
          <w:i w:val="false"/>
          <w:color w:val="000000"/>
          <w:sz w:val="28"/>
        </w:rPr>
        <w:t>
      у заемщика отсутствуют просроченные обязательства и у финансовой организации имеется обоснованная и подтверждаемая информация о том, что заемщик допустит нарушение сроков оплаты по своим обязательствам без предоставления ему льготных условий по займу;</w:t>
      </w:r>
    </w:p>
    <w:bookmarkEnd w:id="135"/>
    <w:bookmarkStart w:name="z150" w:id="136"/>
    <w:p>
      <w:pPr>
        <w:spacing w:after="0"/>
        <w:ind w:left="0"/>
        <w:jc w:val="both"/>
      </w:pPr>
      <w:r>
        <w:rPr>
          <w:rFonts w:ascii="Times New Roman"/>
          <w:b w:val="false"/>
          <w:i w:val="false"/>
          <w:color w:val="000000"/>
          <w:sz w:val="28"/>
        </w:rPr>
        <w:t>
      перевод части долга заемщика, который содержит признаки обесценения;</w:t>
      </w:r>
    </w:p>
    <w:bookmarkEnd w:id="136"/>
    <w:bookmarkStart w:name="z151" w:id="137"/>
    <w:p>
      <w:pPr>
        <w:spacing w:after="0"/>
        <w:ind w:left="0"/>
        <w:jc w:val="both"/>
      </w:pPr>
      <w:r>
        <w:rPr>
          <w:rFonts w:ascii="Times New Roman"/>
          <w:b w:val="false"/>
          <w:i w:val="false"/>
          <w:color w:val="000000"/>
          <w:sz w:val="28"/>
        </w:rPr>
        <w:t>
      рефинансирование просроченной задолженности за исключением случаев, когда снижается долговая нагрузка заемщика по займу в финансовой организации, в том числе в других финансовых организациях;</w:t>
      </w:r>
    </w:p>
    <w:bookmarkEnd w:id="137"/>
    <w:bookmarkStart w:name="z152" w:id="138"/>
    <w:p>
      <w:pPr>
        <w:spacing w:after="0"/>
        <w:ind w:left="0"/>
        <w:jc w:val="both"/>
      </w:pPr>
      <w:r>
        <w:rPr>
          <w:rFonts w:ascii="Times New Roman"/>
          <w:b w:val="false"/>
          <w:i w:val="false"/>
          <w:color w:val="000000"/>
          <w:sz w:val="28"/>
        </w:rPr>
        <w:t>
      снижение процентной ставки ниже базовой ставки Национального Банка Республики Казахстан (в национальной валюте) с момента последней реструктуризации или выдачи займа, в связи с ухудшением финансового состояния заемщика в соответствии с внутренними документами банка;</w:t>
      </w:r>
    </w:p>
    <w:bookmarkEnd w:id="138"/>
    <w:bookmarkStart w:name="z153" w:id="139"/>
    <w:p>
      <w:pPr>
        <w:spacing w:after="0"/>
        <w:ind w:left="0"/>
        <w:jc w:val="both"/>
      </w:pPr>
      <w:r>
        <w:rPr>
          <w:rFonts w:ascii="Times New Roman"/>
          <w:b w:val="false"/>
          <w:i w:val="false"/>
          <w:color w:val="000000"/>
          <w:sz w:val="28"/>
        </w:rPr>
        <w:t>
      нецелевое использование кредита в размере более 25 (двадцати пяти) процентов от размера кредитной линии, за исключением случаев финансирования на пополнение оборотных средств;</w:t>
      </w:r>
    </w:p>
    <w:bookmarkEnd w:id="139"/>
    <w:bookmarkStart w:name="z154" w:id="140"/>
    <w:p>
      <w:pPr>
        <w:spacing w:after="0"/>
        <w:ind w:left="0"/>
        <w:jc w:val="both"/>
      </w:pPr>
      <w:r>
        <w:rPr>
          <w:rFonts w:ascii="Times New Roman"/>
          <w:b w:val="false"/>
          <w:i w:val="false"/>
          <w:color w:val="000000"/>
          <w:sz w:val="28"/>
        </w:rPr>
        <w:t xml:space="preserve">
      в отношении заемщика и (или) лиц, имеющих договорные обязательства с заемщиком по погашению его задолженности, применяются реабилитационные процедуры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w:t>
      </w:r>
    </w:p>
    <w:bookmarkEnd w:id="140"/>
    <w:bookmarkStart w:name="z155" w:id="141"/>
    <w:p>
      <w:pPr>
        <w:spacing w:after="0"/>
        <w:ind w:left="0"/>
        <w:jc w:val="both"/>
      </w:pPr>
      <w:r>
        <w:rPr>
          <w:rFonts w:ascii="Times New Roman"/>
          <w:b w:val="false"/>
          <w:i w:val="false"/>
          <w:color w:val="000000"/>
          <w:sz w:val="28"/>
        </w:rPr>
        <w:t>
      обращение заемщика за реструктуризацией в связи с форс-мажорными и (или) иными обстоятельствами, в результате которых утерян актив заемщика, за счет которого заемщик обслуживал свои обязательства перед финансовой организацией.</w:t>
      </w:r>
    </w:p>
    <w:bookmarkEnd w:id="141"/>
    <w:bookmarkStart w:name="z156" w:id="142"/>
    <w:p>
      <w:pPr>
        <w:spacing w:after="0"/>
        <w:ind w:left="0"/>
        <w:jc w:val="both"/>
      </w:pPr>
      <w:r>
        <w:rPr>
          <w:rFonts w:ascii="Times New Roman"/>
          <w:b w:val="false"/>
          <w:i w:val="false"/>
          <w:color w:val="000000"/>
          <w:sz w:val="28"/>
        </w:rPr>
        <w:t>
      Реструктуризация займа не является вынужденной в следующих случаях:</w:t>
      </w:r>
    </w:p>
    <w:bookmarkEnd w:id="142"/>
    <w:bookmarkStart w:name="z157" w:id="143"/>
    <w:p>
      <w:pPr>
        <w:spacing w:after="0"/>
        <w:ind w:left="0"/>
        <w:jc w:val="both"/>
      </w:pPr>
      <w:r>
        <w:rPr>
          <w:rFonts w:ascii="Times New Roman"/>
          <w:b w:val="false"/>
          <w:i w:val="false"/>
          <w:color w:val="000000"/>
          <w:sz w:val="28"/>
        </w:rPr>
        <w:t>
      списание, прощение, отсрочка, пролонгация, изменение валюты, графика погашения, ставки вознаграждения по займу, в том числе снижение ставки вознаграждения на рыночных условиях, проведено в рамках требований целевых государственных программ;</w:t>
      </w:r>
    </w:p>
    <w:bookmarkEnd w:id="143"/>
    <w:bookmarkStart w:name="z158" w:id="144"/>
    <w:p>
      <w:pPr>
        <w:spacing w:after="0"/>
        <w:ind w:left="0"/>
        <w:jc w:val="both"/>
      </w:pPr>
      <w:r>
        <w:rPr>
          <w:rFonts w:ascii="Times New Roman"/>
          <w:b w:val="false"/>
          <w:i w:val="false"/>
          <w:color w:val="000000"/>
          <w:sz w:val="28"/>
        </w:rPr>
        <w:t>
      частичное досрочное погашение задолженности, изменение даты планового платежа (включая сроки займа) в течение месяца, сокращение срока займа, изменение метода погашения, изменение размера базового показателя по займу с плавающей ставкой вознаграждения, перенос даты платежа в рамках того же месяца менее чем на 30 (тридцать) календарных дней, если это предусмотрено условиями договора или государственных программ;</w:t>
      </w:r>
    </w:p>
    <w:bookmarkEnd w:id="144"/>
    <w:bookmarkStart w:name="z159" w:id="145"/>
    <w:p>
      <w:pPr>
        <w:spacing w:after="0"/>
        <w:ind w:left="0"/>
        <w:jc w:val="both"/>
      </w:pPr>
      <w:r>
        <w:rPr>
          <w:rFonts w:ascii="Times New Roman"/>
          <w:b w:val="false"/>
          <w:i w:val="false"/>
          <w:color w:val="000000"/>
          <w:sz w:val="28"/>
        </w:rPr>
        <w:t>
      12) обоснованная и подтверждаемая информация – информация, которая является обоснованно доступной по состоянию на отчетную дату без чрезмерных затрат или усилий, включая информацию о прошлых событиях за период не менее 5 (пяти) лет, текущих качественных и количественных показателях и прогнозах будущих экономических качественных и количественных показателей. При отсутствии информации за период не менее 5 (пяти) лет, обоснованно доступной по состоянию на отчетную дату, допускается использование финансовой организацией информации за более короткий период при условии последующего накопления информации о прошлых событиях за период не менее 5 (пяти) лет. По индивидуальным финансовым активам допускается построение прогнозных потоков на основании мониторинга финансового состояния контрагента за последние 3 (три) года либо менее в случае осуществления финансовой организацией операционной деятельности менее 3 (трех) лет;</w:t>
      </w:r>
    </w:p>
    <w:bookmarkEnd w:id="145"/>
    <w:bookmarkStart w:name="z160" w:id="146"/>
    <w:p>
      <w:pPr>
        <w:spacing w:after="0"/>
        <w:ind w:left="0"/>
        <w:jc w:val="both"/>
      </w:pPr>
      <w:r>
        <w:rPr>
          <w:rFonts w:ascii="Times New Roman"/>
          <w:b w:val="false"/>
          <w:i w:val="false"/>
          <w:color w:val="000000"/>
          <w:sz w:val="28"/>
        </w:rPr>
        <w:t>
      13) провизии (резервы) – оценочный резерв под ожидаемые и имеющиеся кредитные убытки по финансовым активам, учитываемым по амортизированной стоимости финансового актива и по справедливой стоимости через прочий совокупный доход, а также оценочное обязательство в отношении ожидаемых кредитных убытков по условным обязательствам;</w:t>
      </w:r>
    </w:p>
    <w:bookmarkEnd w:id="146"/>
    <w:bookmarkStart w:name="z161" w:id="147"/>
    <w:p>
      <w:pPr>
        <w:spacing w:after="0"/>
        <w:ind w:left="0"/>
        <w:jc w:val="both"/>
      </w:pPr>
      <w:r>
        <w:rPr>
          <w:rFonts w:ascii="Times New Roman"/>
          <w:b w:val="false"/>
          <w:i w:val="false"/>
          <w:color w:val="000000"/>
          <w:sz w:val="28"/>
        </w:rPr>
        <w:t>
      14) приобретенный или созданный кредитно-обесцененный финансовый актив – приобретенный или созданный финансовый актив, по которому имелось подтверждение об обесценении на момент первоначального признания;</w:t>
      </w:r>
    </w:p>
    <w:bookmarkEnd w:id="147"/>
    <w:bookmarkStart w:name="z162" w:id="148"/>
    <w:p>
      <w:pPr>
        <w:spacing w:after="0"/>
        <w:ind w:left="0"/>
        <w:jc w:val="both"/>
      </w:pPr>
      <w:r>
        <w:rPr>
          <w:rFonts w:ascii="Times New Roman"/>
          <w:b w:val="false"/>
          <w:i w:val="false"/>
          <w:color w:val="000000"/>
          <w:sz w:val="28"/>
        </w:rPr>
        <w:t>
      15) уполномоченный орган – уполномоченный орган по регулированию, контролю и надзору финансового рынка и финансовых организаций;</w:t>
      </w:r>
    </w:p>
    <w:bookmarkEnd w:id="148"/>
    <w:bookmarkStart w:name="z163" w:id="149"/>
    <w:p>
      <w:pPr>
        <w:spacing w:after="0"/>
        <w:ind w:left="0"/>
        <w:jc w:val="both"/>
      </w:pPr>
      <w:r>
        <w:rPr>
          <w:rFonts w:ascii="Times New Roman"/>
          <w:b w:val="false"/>
          <w:i w:val="false"/>
          <w:color w:val="000000"/>
          <w:sz w:val="28"/>
        </w:rPr>
        <w:t>
      16) условные обязательства – возможные обязательства по непокрытым аккредитивам, выпущенным или подтвержденным гарантиям;</w:t>
      </w:r>
    </w:p>
    <w:bookmarkEnd w:id="149"/>
    <w:bookmarkStart w:name="z164" w:id="150"/>
    <w:p>
      <w:pPr>
        <w:spacing w:after="0"/>
        <w:ind w:left="0"/>
        <w:jc w:val="both"/>
      </w:pPr>
      <w:r>
        <w:rPr>
          <w:rFonts w:ascii="Times New Roman"/>
          <w:b w:val="false"/>
          <w:i w:val="false"/>
          <w:color w:val="000000"/>
          <w:sz w:val="28"/>
        </w:rPr>
        <w:t>
      17) внутренняя рейтинговая модель – модель оценки кредитоспособности заемщика;</w:t>
      </w:r>
    </w:p>
    <w:bookmarkEnd w:id="150"/>
    <w:bookmarkStart w:name="z165" w:id="151"/>
    <w:p>
      <w:pPr>
        <w:spacing w:after="0"/>
        <w:ind w:left="0"/>
        <w:jc w:val="both"/>
      </w:pPr>
      <w:r>
        <w:rPr>
          <w:rFonts w:ascii="Times New Roman"/>
          <w:b w:val="false"/>
          <w:i w:val="false"/>
          <w:color w:val="000000"/>
          <w:sz w:val="28"/>
        </w:rPr>
        <w:t>
      18) метод "going-concern" – метод оценки на основе принципа "действующего бизнеса", когда ожидается, что заемщик будет продолжать создавать денежные потоки (допущение о непрерывности деятельности);</w:t>
      </w:r>
    </w:p>
    <w:bookmarkEnd w:id="151"/>
    <w:bookmarkStart w:name="z166" w:id="152"/>
    <w:p>
      <w:pPr>
        <w:spacing w:after="0"/>
        <w:ind w:left="0"/>
        <w:jc w:val="both"/>
      </w:pPr>
      <w:r>
        <w:rPr>
          <w:rFonts w:ascii="Times New Roman"/>
          <w:b w:val="false"/>
          <w:i w:val="false"/>
          <w:color w:val="000000"/>
          <w:sz w:val="28"/>
        </w:rPr>
        <w:t>
      19) метод "gone-concern" – метод оценки на основе принципа "ликвидационной стоимости", когда ожидается прекращение операционных денежных потоков заемщика и реализация залогового обеспечения (допущение о нулевых денежных потоках от операционной деятельности).";</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68" w:id="153"/>
    <w:p>
      <w:pPr>
        <w:spacing w:after="0"/>
        <w:ind w:left="0"/>
        <w:jc w:val="both"/>
      </w:pPr>
      <w:r>
        <w:rPr>
          <w:rFonts w:ascii="Times New Roman"/>
          <w:b w:val="false"/>
          <w:i w:val="false"/>
          <w:color w:val="000000"/>
          <w:sz w:val="28"/>
        </w:rPr>
        <w:t>
      "3. Провизии (резервы) создаются в соответствии с МСФО 9 и требованиями законодательства Республики Казахстан о бухгалтерском учете и финансовой отчетности.</w:t>
      </w:r>
    </w:p>
    <w:bookmarkEnd w:id="153"/>
    <w:bookmarkStart w:name="z169" w:id="154"/>
    <w:p>
      <w:pPr>
        <w:spacing w:after="0"/>
        <w:ind w:left="0"/>
        <w:jc w:val="both"/>
      </w:pPr>
      <w:r>
        <w:rPr>
          <w:rFonts w:ascii="Times New Roman"/>
          <w:b w:val="false"/>
          <w:i w:val="false"/>
          <w:color w:val="000000"/>
          <w:sz w:val="28"/>
        </w:rPr>
        <w:t>
      При первоначальном признании финансового актива для принятия решения о классификации финансового актива как оцениваемый по амортизированной стоимости или как оцениваемый по справедливой стоимости через прочий совокупный доход проводится оценка соответствия денежных потоков по финансовому активу критерию SPPI (Solely Payments of Principal and Interest), то есть предусмотрено ли условиями договора данного финансового актива возникновение в установленные сроки денежных потоков, которые представляют собой выплату исключительно основной суммы и вознаграждения.</w:t>
      </w:r>
    </w:p>
    <w:bookmarkEnd w:id="154"/>
    <w:bookmarkStart w:name="z170" w:id="155"/>
    <w:p>
      <w:pPr>
        <w:spacing w:after="0"/>
        <w:ind w:left="0"/>
        <w:jc w:val="both"/>
      </w:pPr>
      <w:r>
        <w:rPr>
          <w:rFonts w:ascii="Times New Roman"/>
          <w:b w:val="false"/>
          <w:i w:val="false"/>
          <w:color w:val="000000"/>
          <w:sz w:val="28"/>
        </w:rPr>
        <w:t>
      Количественные и качественные критерии SPPI-теста устанавливаются во внутренних документах финансовой организации (далее – Методика по SPPI).</w:t>
      </w:r>
    </w:p>
    <w:bookmarkEnd w:id="155"/>
    <w:bookmarkStart w:name="z171" w:id="156"/>
    <w:p>
      <w:pPr>
        <w:spacing w:after="0"/>
        <w:ind w:left="0"/>
        <w:jc w:val="both"/>
      </w:pPr>
      <w:r>
        <w:rPr>
          <w:rFonts w:ascii="Times New Roman"/>
          <w:b w:val="false"/>
          <w:i w:val="false"/>
          <w:color w:val="000000"/>
          <w:sz w:val="28"/>
        </w:rPr>
        <w:t>
      Методика по SPPI содержит, но не ограничиваясь:</w:t>
      </w:r>
    </w:p>
    <w:bookmarkEnd w:id="156"/>
    <w:bookmarkStart w:name="z172" w:id="157"/>
    <w:p>
      <w:pPr>
        <w:spacing w:after="0"/>
        <w:ind w:left="0"/>
        <w:jc w:val="both"/>
      </w:pPr>
      <w:r>
        <w:rPr>
          <w:rFonts w:ascii="Times New Roman"/>
          <w:b w:val="false"/>
          <w:i w:val="false"/>
          <w:color w:val="000000"/>
          <w:sz w:val="28"/>
        </w:rPr>
        <w:t>
      1) определение и критерии прохождения SPPI-теста;</w:t>
      </w:r>
    </w:p>
    <w:bookmarkEnd w:id="157"/>
    <w:bookmarkStart w:name="z173" w:id="158"/>
    <w:p>
      <w:pPr>
        <w:spacing w:after="0"/>
        <w:ind w:left="0"/>
        <w:jc w:val="both"/>
      </w:pPr>
      <w:r>
        <w:rPr>
          <w:rFonts w:ascii="Times New Roman"/>
          <w:b w:val="false"/>
          <w:i w:val="false"/>
          <w:color w:val="000000"/>
          <w:sz w:val="28"/>
        </w:rPr>
        <w:t>
      2) подход к оценке модифицированной временной стоимости денег;</w:t>
      </w:r>
    </w:p>
    <w:bookmarkEnd w:id="158"/>
    <w:bookmarkStart w:name="z174" w:id="159"/>
    <w:p>
      <w:pPr>
        <w:spacing w:after="0"/>
        <w:ind w:left="0"/>
        <w:jc w:val="both"/>
      </w:pPr>
      <w:r>
        <w:rPr>
          <w:rFonts w:ascii="Times New Roman"/>
          <w:b w:val="false"/>
          <w:i w:val="false"/>
          <w:color w:val="000000"/>
          <w:sz w:val="28"/>
        </w:rPr>
        <w:t>
      3) подходы и критерии определения минимальных характеристик (de minimis), которые не влияют на классификацию финансового актива (влияние на предусмотренные договором денежные потоки является несущественным);</w:t>
      </w:r>
    </w:p>
    <w:bookmarkEnd w:id="159"/>
    <w:bookmarkStart w:name="z175" w:id="160"/>
    <w:p>
      <w:pPr>
        <w:spacing w:after="0"/>
        <w:ind w:left="0"/>
        <w:jc w:val="both"/>
      </w:pPr>
      <w:r>
        <w:rPr>
          <w:rFonts w:ascii="Times New Roman"/>
          <w:b w:val="false"/>
          <w:i w:val="false"/>
          <w:color w:val="000000"/>
          <w:sz w:val="28"/>
        </w:rPr>
        <w:t>
      4) определение и критерии активов без права регресса, договорные денежные потоки которых описываются как выплаты основного долга и вознаграждения, но являются инвестициями в конкретные активы или денежные потоки. Признаками таких активов являются в том числе низкий или нулевой уровень собственного капитала заемщика на момент выдачи займа, низкие или нулевые показатели операционной деятельности заемщика на момент выдачи займа, инвестиционная цель займа, финансирование девелоперского проекта, высокая вероятность того, что выплата займа будет производиться третьей стороной, финансирование приобретения доли в капитале другой компании, рефинансирование займа в другом банке, основную часть в балансе заемщика составляют финансовые инструменты;</w:t>
      </w:r>
    </w:p>
    <w:bookmarkEnd w:id="160"/>
    <w:bookmarkStart w:name="z176" w:id="161"/>
    <w:p>
      <w:pPr>
        <w:spacing w:after="0"/>
        <w:ind w:left="0"/>
        <w:jc w:val="both"/>
      </w:pPr>
      <w:r>
        <w:rPr>
          <w:rFonts w:ascii="Times New Roman"/>
          <w:b w:val="false"/>
          <w:i w:val="false"/>
          <w:color w:val="000000"/>
          <w:sz w:val="28"/>
        </w:rPr>
        <w:t>
      5) пороговые значения коэффициента покрытия залоговым обеспечением (LTV), рассчитываемого как соотношение суммы требований, подверженных риску дефолта (EAD), к стоимости залогового обеспечения, при которых определяется прохождение SPPI-теста в отношении займов, подпадающих под признаки, указанные в подпункте 4) настоящего пункта Правил;</w:t>
      </w:r>
    </w:p>
    <w:bookmarkEnd w:id="161"/>
    <w:bookmarkStart w:name="z177" w:id="162"/>
    <w:p>
      <w:pPr>
        <w:spacing w:after="0"/>
        <w:ind w:left="0"/>
        <w:jc w:val="both"/>
      </w:pPr>
      <w:r>
        <w:rPr>
          <w:rFonts w:ascii="Times New Roman"/>
          <w:b w:val="false"/>
          <w:i w:val="false"/>
          <w:color w:val="000000"/>
          <w:sz w:val="28"/>
        </w:rPr>
        <w:t>
      6) порядок прохождения SPPI-теста при многотраншевой структуре обязательств (анализ на уровне кредитной линии или отдельно по каждому траншу);</w:t>
      </w:r>
    </w:p>
    <w:bookmarkEnd w:id="162"/>
    <w:bookmarkStart w:name="z178" w:id="163"/>
    <w:p>
      <w:pPr>
        <w:spacing w:after="0"/>
        <w:ind w:left="0"/>
        <w:jc w:val="both"/>
      </w:pPr>
      <w:r>
        <w:rPr>
          <w:rFonts w:ascii="Times New Roman"/>
          <w:b w:val="false"/>
          <w:i w:val="false"/>
          <w:color w:val="000000"/>
          <w:sz w:val="28"/>
        </w:rPr>
        <w:t>
      7) опросник SPPI-теста, оценивающий информацию, определенную в подпунктах 1), 2), 3), 4), 5) и 6) настоящего пункта Правил, а также следующие характеристики финансового актива (но не ограничиваясь ими) для целей принятия решения по прохождению SPPI-теста:</w:t>
      </w:r>
    </w:p>
    <w:bookmarkEnd w:id="163"/>
    <w:bookmarkStart w:name="z179" w:id="164"/>
    <w:p>
      <w:pPr>
        <w:spacing w:after="0"/>
        <w:ind w:left="0"/>
        <w:jc w:val="both"/>
      </w:pPr>
      <w:r>
        <w:rPr>
          <w:rFonts w:ascii="Times New Roman"/>
          <w:b w:val="false"/>
          <w:i w:val="false"/>
          <w:color w:val="000000"/>
          <w:sz w:val="28"/>
        </w:rPr>
        <w:t>
      вид валюты и ставки;</w:t>
      </w:r>
    </w:p>
    <w:bookmarkEnd w:id="164"/>
    <w:bookmarkStart w:name="z180" w:id="165"/>
    <w:p>
      <w:pPr>
        <w:spacing w:after="0"/>
        <w:ind w:left="0"/>
        <w:jc w:val="both"/>
      </w:pPr>
      <w:r>
        <w:rPr>
          <w:rFonts w:ascii="Times New Roman"/>
          <w:b w:val="false"/>
          <w:i w:val="false"/>
          <w:color w:val="000000"/>
          <w:sz w:val="28"/>
        </w:rPr>
        <w:t>
      условия досрочного погашения займа (пролонгации).";</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82" w:id="166"/>
    <w:p>
      <w:pPr>
        <w:spacing w:after="0"/>
        <w:ind w:left="0"/>
        <w:jc w:val="both"/>
      </w:pPr>
      <w:r>
        <w:rPr>
          <w:rFonts w:ascii="Times New Roman"/>
          <w:b w:val="false"/>
          <w:i w:val="false"/>
          <w:color w:val="000000"/>
          <w:sz w:val="28"/>
        </w:rPr>
        <w:t>
      "5. Финансовые активы и условные обязательства классифицируются на однородные и индивидуальные.</w:t>
      </w:r>
    </w:p>
    <w:bookmarkEnd w:id="166"/>
    <w:bookmarkStart w:name="z183" w:id="167"/>
    <w:p>
      <w:pPr>
        <w:spacing w:after="0"/>
        <w:ind w:left="0"/>
        <w:jc w:val="both"/>
      </w:pPr>
      <w:r>
        <w:rPr>
          <w:rFonts w:ascii="Times New Roman"/>
          <w:b w:val="false"/>
          <w:i w:val="false"/>
          <w:color w:val="000000"/>
          <w:sz w:val="28"/>
        </w:rPr>
        <w:t>
      По индивидуальным финансовым активам провизии (резервы) рассчитываются отдельно по каждому индивидуальному финансовому активу.</w:t>
      </w:r>
    </w:p>
    <w:bookmarkEnd w:id="167"/>
    <w:bookmarkStart w:name="z184" w:id="168"/>
    <w:p>
      <w:pPr>
        <w:spacing w:after="0"/>
        <w:ind w:left="0"/>
        <w:jc w:val="both"/>
      </w:pPr>
      <w:r>
        <w:rPr>
          <w:rFonts w:ascii="Times New Roman"/>
          <w:b w:val="false"/>
          <w:i w:val="false"/>
          <w:color w:val="000000"/>
          <w:sz w:val="28"/>
        </w:rPr>
        <w:t>
      По индивидуальным финансовым активам, по которым отсутствуют признаки обесценения в соответствии с Методикой расчета провизий (резервов), осуществляется группировка финансовых активов по общим характеристикам кредитного риска, установленным в Методике расчета провизий (резервов), и провизии (резервы) рассчитываются в соответствии с Методикой расчета провизий (резервов).</w:t>
      </w:r>
    </w:p>
    <w:bookmarkEnd w:id="168"/>
    <w:bookmarkStart w:name="z185" w:id="169"/>
    <w:p>
      <w:pPr>
        <w:spacing w:after="0"/>
        <w:ind w:left="0"/>
        <w:jc w:val="both"/>
      </w:pPr>
      <w:r>
        <w:rPr>
          <w:rFonts w:ascii="Times New Roman"/>
          <w:b w:val="false"/>
          <w:i w:val="false"/>
          <w:color w:val="000000"/>
          <w:sz w:val="28"/>
        </w:rPr>
        <w:t>
      Однородные финансовые активы, условные обязательства группируются на основе общих характеристик кредитного риска, определенных Методикой расчета провизий (резервов).</w:t>
      </w:r>
    </w:p>
    <w:bookmarkEnd w:id="169"/>
    <w:bookmarkStart w:name="z186" w:id="170"/>
    <w:p>
      <w:pPr>
        <w:spacing w:after="0"/>
        <w:ind w:left="0"/>
        <w:jc w:val="both"/>
      </w:pPr>
      <w:r>
        <w:rPr>
          <w:rFonts w:ascii="Times New Roman"/>
          <w:b w:val="false"/>
          <w:i w:val="false"/>
          <w:color w:val="000000"/>
          <w:sz w:val="28"/>
        </w:rPr>
        <w:t>
      Методика расчета провизий (резервов) содержит обоснованную и статистически подтвержденную сегментацию займов с однородными признаками (при отсутствии достаточной статистики, допускается экспертное обоснование сегментации), а также:</w:t>
      </w:r>
    </w:p>
    <w:bookmarkEnd w:id="170"/>
    <w:bookmarkStart w:name="z187" w:id="171"/>
    <w:p>
      <w:pPr>
        <w:spacing w:after="0"/>
        <w:ind w:left="0"/>
        <w:jc w:val="both"/>
      </w:pPr>
      <w:r>
        <w:rPr>
          <w:rFonts w:ascii="Times New Roman"/>
          <w:b w:val="false"/>
          <w:i w:val="false"/>
          <w:color w:val="000000"/>
          <w:sz w:val="28"/>
        </w:rPr>
        <w:t>
      1) список критериев, используемых для сегментации займов с однородными признаками (тип продукта, срок до погашения, отрасль и другие критерии);</w:t>
      </w:r>
    </w:p>
    <w:bookmarkEnd w:id="171"/>
    <w:bookmarkStart w:name="z188" w:id="172"/>
    <w:p>
      <w:pPr>
        <w:spacing w:after="0"/>
        <w:ind w:left="0"/>
        <w:jc w:val="both"/>
      </w:pPr>
      <w:r>
        <w:rPr>
          <w:rFonts w:ascii="Times New Roman"/>
          <w:b w:val="false"/>
          <w:i w:val="false"/>
          <w:color w:val="000000"/>
          <w:sz w:val="28"/>
        </w:rPr>
        <w:t>
      2) описание подходов к статистическому анализу сегментации займов с однородными признаками (в том числе анализ однородности, достаточности статистики и другие компоненты), а также в случае применения экспертного подхода описание и обоснование сегментации на основании экспертного подхода;</w:t>
      </w:r>
    </w:p>
    <w:bookmarkEnd w:id="172"/>
    <w:bookmarkStart w:name="z189" w:id="173"/>
    <w:p>
      <w:pPr>
        <w:spacing w:after="0"/>
        <w:ind w:left="0"/>
        <w:jc w:val="both"/>
      </w:pPr>
      <w:r>
        <w:rPr>
          <w:rFonts w:ascii="Times New Roman"/>
          <w:b w:val="false"/>
          <w:i w:val="false"/>
          <w:color w:val="000000"/>
          <w:sz w:val="28"/>
        </w:rPr>
        <w:t>
      3) критерии выбора пороговых значений по каждому из критериев;</w:t>
      </w:r>
    </w:p>
    <w:bookmarkEnd w:id="173"/>
    <w:bookmarkStart w:name="z190" w:id="174"/>
    <w:p>
      <w:pPr>
        <w:spacing w:after="0"/>
        <w:ind w:left="0"/>
        <w:jc w:val="both"/>
      </w:pPr>
      <w:r>
        <w:rPr>
          <w:rFonts w:ascii="Times New Roman"/>
          <w:b w:val="false"/>
          <w:i w:val="false"/>
          <w:color w:val="000000"/>
          <w:sz w:val="28"/>
        </w:rPr>
        <w:t>
      4) условия, при которых отсутствует необходимость в дальнейшей сегментации портфеля (для случаев, где это применимо).";</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192" w:id="175"/>
    <w:p>
      <w:pPr>
        <w:spacing w:after="0"/>
        <w:ind w:left="0"/>
        <w:jc w:val="both"/>
      </w:pPr>
      <w:r>
        <w:rPr>
          <w:rFonts w:ascii="Times New Roman"/>
          <w:b w:val="false"/>
          <w:i w:val="false"/>
          <w:color w:val="000000"/>
          <w:sz w:val="28"/>
        </w:rPr>
        <w:t>
      "10. Увеличение кредитного риска определяется следующим образом:</w:t>
      </w:r>
    </w:p>
    <w:bookmarkEnd w:id="175"/>
    <w:bookmarkStart w:name="z193" w:id="176"/>
    <w:p>
      <w:pPr>
        <w:spacing w:after="0"/>
        <w:ind w:left="0"/>
        <w:jc w:val="both"/>
      </w:pPr>
      <w:r>
        <w:rPr>
          <w:rFonts w:ascii="Times New Roman"/>
          <w:b w:val="false"/>
          <w:i w:val="false"/>
          <w:color w:val="000000"/>
          <w:sz w:val="28"/>
        </w:rPr>
        <w:t>
      1) оценивается изменение риска наступления дефолта на протяжении ожидаемого срока действия финансового актива путем сравнения риска наступления дефолта по финансовому активу, определенному в соответствии с пунктом 7 Правил, с риском наступления дефолта на дату первоначального признания;</w:t>
      </w:r>
    </w:p>
    <w:bookmarkEnd w:id="176"/>
    <w:bookmarkStart w:name="z194" w:id="177"/>
    <w:p>
      <w:pPr>
        <w:spacing w:after="0"/>
        <w:ind w:left="0"/>
        <w:jc w:val="both"/>
      </w:pPr>
      <w:r>
        <w:rPr>
          <w:rFonts w:ascii="Times New Roman"/>
          <w:b w:val="false"/>
          <w:i w:val="false"/>
          <w:color w:val="000000"/>
          <w:sz w:val="28"/>
        </w:rPr>
        <w:t>
      2) анализируется обоснованная и подтверждаемая информация, доступная без чрезмерных затрат и усилий, которая указывает на значительное увеличение кредитного риска с момента первоначального признания.</w:t>
      </w:r>
    </w:p>
    <w:bookmarkEnd w:id="177"/>
    <w:bookmarkStart w:name="z195" w:id="178"/>
    <w:p>
      <w:pPr>
        <w:spacing w:after="0"/>
        <w:ind w:left="0"/>
        <w:jc w:val="both"/>
      </w:pPr>
      <w:r>
        <w:rPr>
          <w:rFonts w:ascii="Times New Roman"/>
          <w:b w:val="false"/>
          <w:i w:val="false"/>
          <w:color w:val="000000"/>
          <w:sz w:val="28"/>
        </w:rPr>
        <w:t>
      Значительным увеличением кредитного риска по индивидуальному финансовому активу является наступление одного или нескольких нижеперечисленных случаев:</w:t>
      </w:r>
    </w:p>
    <w:bookmarkEnd w:id="178"/>
    <w:bookmarkStart w:name="z196" w:id="179"/>
    <w:p>
      <w:pPr>
        <w:spacing w:after="0"/>
        <w:ind w:left="0"/>
        <w:jc w:val="both"/>
      </w:pPr>
      <w:r>
        <w:rPr>
          <w:rFonts w:ascii="Times New Roman"/>
          <w:b w:val="false"/>
          <w:i w:val="false"/>
          <w:color w:val="000000"/>
          <w:sz w:val="28"/>
        </w:rPr>
        <w:t>
      наличие у заемщика (созаемщика) внутреннего рейтинга (балла), соответствующего увеличению кредитного риска согласно внутренней методике (внутренним моделям) банка;</w:t>
      </w:r>
    </w:p>
    <w:bookmarkEnd w:id="179"/>
    <w:bookmarkStart w:name="z197" w:id="180"/>
    <w:p>
      <w:pPr>
        <w:spacing w:after="0"/>
        <w:ind w:left="0"/>
        <w:jc w:val="both"/>
      </w:pPr>
      <w:r>
        <w:rPr>
          <w:rFonts w:ascii="Times New Roman"/>
          <w:b w:val="false"/>
          <w:i w:val="false"/>
          <w:color w:val="000000"/>
          <w:sz w:val="28"/>
        </w:rPr>
        <w:t>
      на отчетную дату вероятность дефолта (PD) в течение срока действия финансового актива превышает ее значение при первоначальном признании (но не ранее даты внедрения МСФО 9) в размере, определенном финансовой организацией на основании подтвержденных статистических данных, а в случае отсутствия статистики – не менее чем на 200 (двести) процентов. Для оценки значительного увеличения кредитного риска учитываются кредиты с вероятностью дефолта в течение 12 (двенадцати) месяцев, превышающей 5 (пять) процентов, за исключением случаев значительного изменения Методики расчета провизий (резервов) или внутренней рейтинговой модели. В случае значительного изменения Методики расчета провизий (резервов) или внутренней рейтинговой модели для оценки значительного увеличения кредитного риска учитываются займы с вероятностью дефолта в течение 12 (двенадцати) месяцев, превышающей 10 (десять) процентов;</w:t>
      </w:r>
    </w:p>
    <w:bookmarkEnd w:id="180"/>
    <w:bookmarkStart w:name="z198" w:id="181"/>
    <w:p>
      <w:pPr>
        <w:spacing w:after="0"/>
        <w:ind w:left="0"/>
        <w:jc w:val="both"/>
      </w:pPr>
      <w:r>
        <w:rPr>
          <w:rFonts w:ascii="Times New Roman"/>
          <w:b w:val="false"/>
          <w:i w:val="false"/>
          <w:color w:val="000000"/>
          <w:sz w:val="28"/>
        </w:rPr>
        <w:t>
      финансовая организация устанавливает пороговое значение абсолютной вероятности дефолта, определенное на основании подтвержденной статистики финансовой организации, в случае отсутствия статистики, если абсолютное значение двенадцатимесячной вероятности дефолта превышает 20 (двадцать) процентов;</w:t>
      </w:r>
    </w:p>
    <w:bookmarkEnd w:id="181"/>
    <w:bookmarkStart w:name="z199" w:id="182"/>
    <w:p>
      <w:pPr>
        <w:spacing w:after="0"/>
        <w:ind w:left="0"/>
        <w:jc w:val="both"/>
      </w:pPr>
      <w:r>
        <w:rPr>
          <w:rFonts w:ascii="Times New Roman"/>
          <w:b w:val="false"/>
          <w:i w:val="false"/>
          <w:color w:val="000000"/>
          <w:sz w:val="28"/>
        </w:rPr>
        <w:t>
      наличие просроченной задолженности по основному долгу и (или) вознаграждению сроком более 30 (тридцати) календарных дней;</w:t>
      </w:r>
    </w:p>
    <w:bookmarkEnd w:id="182"/>
    <w:bookmarkStart w:name="z200" w:id="183"/>
    <w:p>
      <w:pPr>
        <w:spacing w:after="0"/>
        <w:ind w:left="0"/>
        <w:jc w:val="both"/>
      </w:pPr>
      <w:r>
        <w:rPr>
          <w:rFonts w:ascii="Times New Roman"/>
          <w:b w:val="false"/>
          <w:i w:val="false"/>
          <w:color w:val="000000"/>
          <w:sz w:val="28"/>
        </w:rPr>
        <w:t>
      значительные изменения внешних рыночных показателей кредитного риска для определенного финансового актива или аналогичных финансовых активов с таким же ожидаемым сроком действия;</w:t>
      </w:r>
    </w:p>
    <w:bookmarkEnd w:id="183"/>
    <w:bookmarkStart w:name="z201" w:id="184"/>
    <w:p>
      <w:pPr>
        <w:spacing w:after="0"/>
        <w:ind w:left="0"/>
        <w:jc w:val="both"/>
      </w:pPr>
      <w:r>
        <w:rPr>
          <w:rFonts w:ascii="Times New Roman"/>
          <w:b w:val="false"/>
          <w:i w:val="false"/>
          <w:color w:val="000000"/>
          <w:sz w:val="28"/>
        </w:rPr>
        <w:t>
      значительные изменения стоимости обеспечения по обязательству или качества гарантий или механизмов, предоставляющих экономический стимул для контрагента осуществлять плановые платежи, предусмотренные договором, которые, как ожидается, уменьшат экономический стимул для контрагента осуществлять плановые платежи, предусмотренные договором, или иным образом повлияют на вероятность наступления дефолта;</w:t>
      </w:r>
    </w:p>
    <w:bookmarkEnd w:id="184"/>
    <w:bookmarkStart w:name="z202" w:id="185"/>
    <w:p>
      <w:pPr>
        <w:spacing w:after="0"/>
        <w:ind w:left="0"/>
        <w:jc w:val="both"/>
      </w:pPr>
      <w:r>
        <w:rPr>
          <w:rFonts w:ascii="Times New Roman"/>
          <w:b w:val="false"/>
          <w:i w:val="false"/>
          <w:color w:val="000000"/>
          <w:sz w:val="28"/>
        </w:rPr>
        <w:t>
      иные признаки значительного увеличения кредитного риска, соответствующие МСФО 9 и предусмотренные в Методике расчета провизий (резервов).</w:t>
      </w:r>
    </w:p>
    <w:bookmarkEnd w:id="185"/>
    <w:bookmarkStart w:name="z203" w:id="186"/>
    <w:p>
      <w:pPr>
        <w:spacing w:after="0"/>
        <w:ind w:left="0"/>
        <w:jc w:val="both"/>
      </w:pPr>
      <w:r>
        <w:rPr>
          <w:rFonts w:ascii="Times New Roman"/>
          <w:b w:val="false"/>
          <w:i w:val="false"/>
          <w:color w:val="000000"/>
          <w:sz w:val="28"/>
        </w:rPr>
        <w:t>
      Значительным увеличением кредитного риска по однородным финансовым активам является наступление одного или нескольких нижеперечисленных случаев:</w:t>
      </w:r>
    </w:p>
    <w:bookmarkEnd w:id="186"/>
    <w:bookmarkStart w:name="z204" w:id="187"/>
    <w:p>
      <w:pPr>
        <w:spacing w:after="0"/>
        <w:ind w:left="0"/>
        <w:jc w:val="both"/>
      </w:pPr>
      <w:r>
        <w:rPr>
          <w:rFonts w:ascii="Times New Roman"/>
          <w:b w:val="false"/>
          <w:i w:val="false"/>
          <w:color w:val="000000"/>
          <w:sz w:val="28"/>
        </w:rPr>
        <w:t>
      на отчетную дату вероятность дефолта (PD) в течение срока действия финансового актива превышает ее значение при первоначальном признании (но не ранее даты внедрения МСФО 9) в размере, определенном финансовой организацией на основании подтвержденных статистических данных, в случае отсутствия статистики не менее чем на 200 (двести) процентов. Для оценки значительного увеличения кредитного риска учитываются займы с вероятностью дефолта в течение 12 (двенадцати) месяцев, превышающей 5 (пять) процентов, за исключением случаев значительного изменения Методики расчета провизий (резервов). В случае значительного изменения Методики расчета провизий (резервов) или внутренней рейтинговой модели для оценки значительного увеличения кредитного риска учитываются займы с вероятностью дефолта в течение 12 (двенадцати) месяцев, превышающей 10 (десять) процентов;</w:t>
      </w:r>
    </w:p>
    <w:bookmarkEnd w:id="187"/>
    <w:bookmarkStart w:name="z205" w:id="188"/>
    <w:p>
      <w:pPr>
        <w:spacing w:after="0"/>
        <w:ind w:left="0"/>
        <w:jc w:val="both"/>
      </w:pPr>
      <w:r>
        <w:rPr>
          <w:rFonts w:ascii="Times New Roman"/>
          <w:b w:val="false"/>
          <w:i w:val="false"/>
          <w:color w:val="000000"/>
          <w:sz w:val="28"/>
        </w:rPr>
        <w:t>
      финансовая организация устанавливает пороговое значение абсолютной вероятности дефолта, определенное на основании собственной подтвержденной статистики, в случае отсутствия статистики, абсолютное значение двенадцатимесячной вероятности дефолта превышает 20 (двадцать) процентов;</w:t>
      </w:r>
    </w:p>
    <w:bookmarkEnd w:id="188"/>
    <w:bookmarkStart w:name="z206" w:id="189"/>
    <w:p>
      <w:pPr>
        <w:spacing w:after="0"/>
        <w:ind w:left="0"/>
        <w:jc w:val="both"/>
      </w:pPr>
      <w:r>
        <w:rPr>
          <w:rFonts w:ascii="Times New Roman"/>
          <w:b w:val="false"/>
          <w:i w:val="false"/>
          <w:color w:val="000000"/>
          <w:sz w:val="28"/>
        </w:rPr>
        <w:t>
      наличие просроченной задолженности по основному долгу и (или) вознаграждению сроком более 30 (тридцати) календарных дней;</w:t>
      </w:r>
    </w:p>
    <w:bookmarkEnd w:id="189"/>
    <w:bookmarkStart w:name="z207" w:id="190"/>
    <w:p>
      <w:pPr>
        <w:spacing w:after="0"/>
        <w:ind w:left="0"/>
        <w:jc w:val="both"/>
      </w:pPr>
      <w:r>
        <w:rPr>
          <w:rFonts w:ascii="Times New Roman"/>
          <w:b w:val="false"/>
          <w:i w:val="false"/>
          <w:color w:val="000000"/>
          <w:sz w:val="28"/>
        </w:rPr>
        <w:t>
      иные признаки значительного увеличения кредитного риска, соответствующие МСФО 9 и предусмотренные в Методике расчета провизий (резервов).</w:t>
      </w:r>
    </w:p>
    <w:bookmarkEnd w:id="190"/>
    <w:bookmarkStart w:name="z208" w:id="191"/>
    <w:p>
      <w:pPr>
        <w:spacing w:after="0"/>
        <w:ind w:left="0"/>
        <w:jc w:val="both"/>
      </w:pPr>
      <w:r>
        <w:rPr>
          <w:rFonts w:ascii="Times New Roman"/>
          <w:b w:val="false"/>
          <w:i w:val="false"/>
          <w:color w:val="000000"/>
          <w:sz w:val="28"/>
        </w:rPr>
        <w:t>
      11. Ожидаемые кредитные убытки по финансовому активу (финансовым активам) являются взвешенными с учетом вероятности оценки кредитных убытков, то есть являются приведенной стоимостью всех недополучений денег за весь ожидаемый срок действия финансового актива (финансовых активов).</w:t>
      </w:r>
    </w:p>
    <w:bookmarkEnd w:id="191"/>
    <w:bookmarkStart w:name="z209" w:id="192"/>
    <w:p>
      <w:pPr>
        <w:spacing w:after="0"/>
        <w:ind w:left="0"/>
        <w:jc w:val="both"/>
      </w:pPr>
      <w:r>
        <w:rPr>
          <w:rFonts w:ascii="Times New Roman"/>
          <w:b w:val="false"/>
          <w:i w:val="false"/>
          <w:color w:val="000000"/>
          <w:sz w:val="28"/>
        </w:rPr>
        <w:t>
      Ожидаемые кредитные убытки по финансовому активу (финансовым активам) рассчитываются по формуле расчета ожидаемых кредитных убытков согласно приложению 1 к Правилам и оцениваются способом, который отражает:</w:t>
      </w:r>
    </w:p>
    <w:bookmarkEnd w:id="192"/>
    <w:bookmarkStart w:name="z210" w:id="193"/>
    <w:p>
      <w:pPr>
        <w:spacing w:after="0"/>
        <w:ind w:left="0"/>
        <w:jc w:val="both"/>
      </w:pPr>
      <w:r>
        <w:rPr>
          <w:rFonts w:ascii="Times New Roman"/>
          <w:b w:val="false"/>
          <w:i w:val="false"/>
          <w:color w:val="000000"/>
          <w:sz w:val="28"/>
        </w:rPr>
        <w:t>
      1) непредвзятую и взвешенную с учетом вероятности сумму, определенную путем оценки диапазона возможных результатов;</w:t>
      </w:r>
    </w:p>
    <w:bookmarkEnd w:id="193"/>
    <w:bookmarkStart w:name="z211" w:id="194"/>
    <w:p>
      <w:pPr>
        <w:spacing w:after="0"/>
        <w:ind w:left="0"/>
        <w:jc w:val="both"/>
      </w:pPr>
      <w:r>
        <w:rPr>
          <w:rFonts w:ascii="Times New Roman"/>
          <w:b w:val="false"/>
          <w:i w:val="false"/>
          <w:color w:val="000000"/>
          <w:sz w:val="28"/>
        </w:rPr>
        <w:t>
      2) временную стоимость денег;</w:t>
      </w:r>
    </w:p>
    <w:bookmarkEnd w:id="194"/>
    <w:bookmarkStart w:name="z212" w:id="195"/>
    <w:p>
      <w:pPr>
        <w:spacing w:after="0"/>
        <w:ind w:left="0"/>
        <w:jc w:val="both"/>
      </w:pPr>
      <w:r>
        <w:rPr>
          <w:rFonts w:ascii="Times New Roman"/>
          <w:b w:val="false"/>
          <w:i w:val="false"/>
          <w:color w:val="000000"/>
          <w:sz w:val="28"/>
        </w:rPr>
        <w:t>
      3) обоснованную и подтверждаемую информацию о прошлых событиях, текущих качественных и количественных показателях и прогнозах будущих экономических качественных и количественных показателей, включая прогнозную макроэкономичекую информацию, доступную на отчетную дату без чрезмерных затрат или усилий.</w:t>
      </w:r>
    </w:p>
    <w:bookmarkEnd w:id="195"/>
    <w:bookmarkStart w:name="z213" w:id="196"/>
    <w:p>
      <w:pPr>
        <w:spacing w:after="0"/>
        <w:ind w:left="0"/>
        <w:jc w:val="both"/>
      </w:pPr>
      <w:r>
        <w:rPr>
          <w:rFonts w:ascii="Times New Roman"/>
          <w:b w:val="false"/>
          <w:i w:val="false"/>
          <w:color w:val="000000"/>
          <w:sz w:val="28"/>
        </w:rPr>
        <w:t xml:space="preserve">
      Допускается изменение и (или) дополнение финансовой организацией формулы расчета ожидаемых кредитных убытков в случае соответствия показателей, предусмотренных формулой расчета ожидаемых кредитных убытков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требованиям частей первой и второй настоящего пункта в соответствии с Методикой расчета провизий (резервов).</w:t>
      </w:r>
    </w:p>
    <w:bookmarkEnd w:id="196"/>
    <w:bookmarkStart w:name="z214" w:id="197"/>
    <w:p>
      <w:pPr>
        <w:spacing w:after="0"/>
        <w:ind w:left="0"/>
        <w:jc w:val="both"/>
      </w:pPr>
      <w:r>
        <w:rPr>
          <w:rFonts w:ascii="Times New Roman"/>
          <w:b w:val="false"/>
          <w:i w:val="false"/>
          <w:color w:val="000000"/>
          <w:sz w:val="28"/>
        </w:rPr>
        <w:t>
      Количественные и качественные факторы, влияющие на вероятность дефолта (PD), включая, но не ограничиваясь фактом реструктуризации и вынужденной реструктуризации займа, количеством дней просрочек по займу, определяются в Методике расчета провизий (резервов).</w:t>
      </w:r>
    </w:p>
    <w:bookmarkEnd w:id="197"/>
    <w:bookmarkStart w:name="z215" w:id="198"/>
    <w:p>
      <w:pPr>
        <w:spacing w:after="0"/>
        <w:ind w:left="0"/>
        <w:jc w:val="both"/>
      </w:pPr>
      <w:r>
        <w:rPr>
          <w:rFonts w:ascii="Times New Roman"/>
          <w:b w:val="false"/>
          <w:i w:val="false"/>
          <w:color w:val="000000"/>
          <w:sz w:val="28"/>
        </w:rPr>
        <w:t>
      В случае наступления дефолта в соответствии с событиями, являющимися объективными подтверждениями обесценения, установленными Правилами, Методикой расчета провизий (резервов) и МСФО 9, вероятность дефолта (PD) принимается равным 1.</w:t>
      </w:r>
    </w:p>
    <w:bookmarkEnd w:id="198"/>
    <w:bookmarkStart w:name="z216" w:id="199"/>
    <w:p>
      <w:pPr>
        <w:spacing w:after="0"/>
        <w:ind w:left="0"/>
        <w:jc w:val="both"/>
      </w:pPr>
      <w:r>
        <w:rPr>
          <w:rFonts w:ascii="Times New Roman"/>
          <w:b w:val="false"/>
          <w:i w:val="false"/>
          <w:color w:val="000000"/>
          <w:sz w:val="28"/>
        </w:rPr>
        <w:t>
      При оценке уровня потерь в случае дефолта (LGD) рефинансирование займа за счет выдачи нового займа, а также займы, полученные в рамках реализации государственных программ, не учитываются в качестве погашения займа.</w:t>
      </w:r>
    </w:p>
    <w:bookmarkEnd w:id="199"/>
    <w:bookmarkStart w:name="z217" w:id="200"/>
    <w:p>
      <w:pPr>
        <w:spacing w:after="0"/>
        <w:ind w:left="0"/>
        <w:jc w:val="both"/>
      </w:pPr>
      <w:r>
        <w:rPr>
          <w:rFonts w:ascii="Times New Roman"/>
          <w:b w:val="false"/>
          <w:i w:val="false"/>
          <w:color w:val="000000"/>
          <w:sz w:val="28"/>
        </w:rPr>
        <w:t>
      При оценке LGD финансовая организация учитывает:</w:t>
      </w:r>
    </w:p>
    <w:bookmarkEnd w:id="200"/>
    <w:bookmarkStart w:name="z218" w:id="201"/>
    <w:p>
      <w:pPr>
        <w:spacing w:after="0"/>
        <w:ind w:left="0"/>
        <w:jc w:val="both"/>
      </w:pPr>
      <w:r>
        <w:rPr>
          <w:rFonts w:ascii="Times New Roman"/>
          <w:b w:val="false"/>
          <w:i w:val="false"/>
          <w:color w:val="000000"/>
          <w:sz w:val="28"/>
        </w:rPr>
        <w:t>
      1) вероятность невозможности взыскания залогового имущества из-за ограничивающих факторов (передача права собственности третьим лицам и другие факторы) и (или) вероятность невозможности реализации залогового имущества после обращения взыскания (неблагоприятные характеристики залогового имущества и другие факторы);</w:t>
      </w:r>
    </w:p>
    <w:bookmarkEnd w:id="201"/>
    <w:bookmarkStart w:name="z219" w:id="202"/>
    <w:p>
      <w:pPr>
        <w:spacing w:after="0"/>
        <w:ind w:left="0"/>
        <w:jc w:val="both"/>
      </w:pPr>
      <w:r>
        <w:rPr>
          <w:rFonts w:ascii="Times New Roman"/>
          <w:b w:val="false"/>
          <w:i w:val="false"/>
          <w:color w:val="000000"/>
          <w:sz w:val="28"/>
        </w:rPr>
        <w:t xml:space="preserve">
      2) коэффициенты ликвидности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Правил либо коэффициенты ликвидности, оцененные с использованием статистического анализа на основе исторических данных о фактической и оцененной стоимостям реализации, сроке и издержках реализации;</w:t>
      </w:r>
    </w:p>
    <w:bookmarkEnd w:id="202"/>
    <w:bookmarkStart w:name="z220" w:id="203"/>
    <w:p>
      <w:pPr>
        <w:spacing w:after="0"/>
        <w:ind w:left="0"/>
        <w:jc w:val="both"/>
      </w:pPr>
      <w:r>
        <w:rPr>
          <w:rFonts w:ascii="Times New Roman"/>
          <w:b w:val="false"/>
          <w:i w:val="false"/>
          <w:color w:val="000000"/>
          <w:sz w:val="28"/>
        </w:rPr>
        <w:t>
      3) иные случаи применения дополнительных дисконтов;</w:t>
      </w:r>
    </w:p>
    <w:bookmarkEnd w:id="203"/>
    <w:bookmarkStart w:name="z221" w:id="204"/>
    <w:p>
      <w:pPr>
        <w:spacing w:after="0"/>
        <w:ind w:left="0"/>
        <w:jc w:val="both"/>
      </w:pPr>
      <w:r>
        <w:rPr>
          <w:rFonts w:ascii="Times New Roman"/>
          <w:b w:val="false"/>
          <w:i w:val="false"/>
          <w:color w:val="000000"/>
          <w:sz w:val="28"/>
        </w:rPr>
        <w:t>
      4) расчет дисконтированных денежных возвратов;</w:t>
      </w:r>
    </w:p>
    <w:bookmarkEnd w:id="204"/>
    <w:bookmarkStart w:name="z222" w:id="205"/>
    <w:p>
      <w:pPr>
        <w:spacing w:after="0"/>
        <w:ind w:left="0"/>
        <w:jc w:val="both"/>
      </w:pPr>
      <w:r>
        <w:rPr>
          <w:rFonts w:ascii="Times New Roman"/>
          <w:b w:val="false"/>
          <w:i w:val="false"/>
          <w:color w:val="000000"/>
          <w:sz w:val="28"/>
        </w:rPr>
        <w:t>
      5) соотношение стоимости залогового имущества и задолженности заемщика, обеспечением возвратности которого выступает данное имущество;</w:t>
      </w:r>
    </w:p>
    <w:bookmarkEnd w:id="205"/>
    <w:bookmarkStart w:name="z223" w:id="206"/>
    <w:p>
      <w:pPr>
        <w:spacing w:after="0"/>
        <w:ind w:left="0"/>
        <w:jc w:val="both"/>
      </w:pPr>
      <w:r>
        <w:rPr>
          <w:rFonts w:ascii="Times New Roman"/>
          <w:b w:val="false"/>
          <w:i w:val="false"/>
          <w:color w:val="000000"/>
          <w:sz w:val="28"/>
        </w:rPr>
        <w:t>
      6) факт полного списания задолженности при наличии залогового имущества, который является признаком отсутствия возможности взыскания или продажи залогового имущества;</w:t>
      </w:r>
    </w:p>
    <w:bookmarkEnd w:id="206"/>
    <w:bookmarkStart w:name="z224" w:id="207"/>
    <w:p>
      <w:pPr>
        <w:spacing w:after="0"/>
        <w:ind w:left="0"/>
        <w:jc w:val="both"/>
      </w:pPr>
      <w:r>
        <w:rPr>
          <w:rFonts w:ascii="Times New Roman"/>
          <w:b w:val="false"/>
          <w:i w:val="false"/>
          <w:color w:val="000000"/>
          <w:sz w:val="28"/>
        </w:rPr>
        <w:t>
      7) наличие существенного отклонения LTV по займу юридическим лицам по сравнению с LTV оцениваемого сегмента;</w:t>
      </w:r>
    </w:p>
    <w:bookmarkEnd w:id="207"/>
    <w:bookmarkStart w:name="z225" w:id="208"/>
    <w:p>
      <w:pPr>
        <w:spacing w:after="0"/>
        <w:ind w:left="0"/>
        <w:jc w:val="both"/>
      </w:pPr>
      <w:r>
        <w:rPr>
          <w:rFonts w:ascii="Times New Roman"/>
          <w:b w:val="false"/>
          <w:i w:val="false"/>
          <w:color w:val="000000"/>
          <w:sz w:val="28"/>
        </w:rPr>
        <w:t>
      8) факт полного списания задолженности при наличии залогового имущества является признаком отсутствия возможности взыскания или продажи залогового имущества и необходимости переоценки LGD на основании уровня возвратов;</w:t>
      </w:r>
    </w:p>
    <w:bookmarkEnd w:id="208"/>
    <w:bookmarkStart w:name="z226" w:id="209"/>
    <w:p>
      <w:pPr>
        <w:spacing w:after="0"/>
        <w:ind w:left="0"/>
        <w:jc w:val="both"/>
      </w:pPr>
      <w:r>
        <w:rPr>
          <w:rFonts w:ascii="Times New Roman"/>
          <w:b w:val="false"/>
          <w:i w:val="false"/>
          <w:color w:val="000000"/>
          <w:sz w:val="28"/>
        </w:rPr>
        <w:t>
      9) обоснованные пороговые значения по уровню списания задолженности при наличии залогового имущества, которые является признаком отсутствия возможности взыскания или продажи залогового имущества, что приводит к необходимости переоценки LGD на индивидуальной основе на основании уровня возвратов.</w:t>
      </w:r>
    </w:p>
    <w:bookmarkEnd w:id="209"/>
    <w:bookmarkStart w:name="z227" w:id="210"/>
    <w:p>
      <w:pPr>
        <w:spacing w:after="0"/>
        <w:ind w:left="0"/>
        <w:jc w:val="both"/>
      </w:pPr>
      <w:r>
        <w:rPr>
          <w:rFonts w:ascii="Times New Roman"/>
          <w:b w:val="false"/>
          <w:i w:val="false"/>
          <w:color w:val="000000"/>
          <w:sz w:val="28"/>
        </w:rPr>
        <w:t>
      Требования, подверженные риску дефолта (EAD), учитывают балансовые обязательства с учетом начисленного вознаграждения и внебалансовые обязательства с применением соответствующего коэффициента кредитной конверсии.</w:t>
      </w:r>
    </w:p>
    <w:bookmarkEnd w:id="210"/>
    <w:bookmarkStart w:name="z228" w:id="211"/>
    <w:p>
      <w:pPr>
        <w:spacing w:after="0"/>
        <w:ind w:left="0"/>
        <w:jc w:val="both"/>
      </w:pPr>
      <w:r>
        <w:rPr>
          <w:rFonts w:ascii="Times New Roman"/>
          <w:b w:val="false"/>
          <w:i w:val="false"/>
          <w:color w:val="000000"/>
          <w:sz w:val="28"/>
        </w:rPr>
        <w:t>
      Коэффициент кредитной конверсии по возможным (условным) обязательствам по размещению банком в будущем займов и вкладов для целей расчета EAD определяется на основе исторических данных финансовой организации. В иных случаях коэффициент кредитной конверсии по кредитным линиям составляет 1. По кредитным картам при наличии возможности автоматической блокировки лимита до полного погашения просроченной задолженности (более 15 (пятнадцати) календарных дней), коэффициент кредитной конверсии составляет 0.</w:t>
      </w:r>
    </w:p>
    <w:bookmarkEnd w:id="211"/>
    <w:bookmarkStart w:name="z229" w:id="212"/>
    <w:p>
      <w:pPr>
        <w:spacing w:after="0"/>
        <w:ind w:left="0"/>
        <w:jc w:val="both"/>
      </w:pPr>
      <w:r>
        <w:rPr>
          <w:rFonts w:ascii="Times New Roman"/>
          <w:b w:val="false"/>
          <w:i w:val="false"/>
          <w:color w:val="000000"/>
          <w:sz w:val="28"/>
        </w:rPr>
        <w:t>
      Коэффициент кредитной конверсии по возможным (условным) обязательствам по размещению банком в будущем займов и вкладов, составляет 0, если при оформлении каждого отдельного транша банк подтверждает отсутствие признаков существенного увеличения кредитного риска, кредитного обесценения путем проверки внутренних и внешних источников информации с учетом наличия актуального мониторинга финансового состояния заемщика.</w:t>
      </w:r>
    </w:p>
    <w:bookmarkEnd w:id="212"/>
    <w:bookmarkStart w:name="z230" w:id="213"/>
    <w:p>
      <w:pPr>
        <w:spacing w:after="0"/>
        <w:ind w:left="0"/>
        <w:jc w:val="both"/>
      </w:pPr>
      <w:r>
        <w:rPr>
          <w:rFonts w:ascii="Times New Roman"/>
          <w:b w:val="false"/>
          <w:i w:val="false"/>
          <w:color w:val="000000"/>
          <w:sz w:val="28"/>
        </w:rPr>
        <w:t>
      Финансовая организация определяет обоснованные сценарии изменения макроэкономических факторов, подкрепленные аналитическими и статистическими отчетами, и учитывает их при оценке ожидаемых кредитных убытков.</w:t>
      </w:r>
    </w:p>
    <w:bookmarkEnd w:id="213"/>
    <w:bookmarkStart w:name="z231" w:id="214"/>
    <w:p>
      <w:pPr>
        <w:spacing w:after="0"/>
        <w:ind w:left="0"/>
        <w:jc w:val="both"/>
      </w:pPr>
      <w:r>
        <w:rPr>
          <w:rFonts w:ascii="Times New Roman"/>
          <w:b w:val="false"/>
          <w:i w:val="false"/>
          <w:color w:val="000000"/>
          <w:sz w:val="28"/>
        </w:rPr>
        <w:t>
      Методика расчета провизий (резервов) содержит общие подходы к расчету макроэкономических сценариев и показателей, а также этапы разработки и утверждения макроэкономических сценариев.</w:t>
      </w:r>
    </w:p>
    <w:bookmarkEnd w:id="214"/>
    <w:bookmarkStart w:name="z232" w:id="215"/>
    <w:p>
      <w:pPr>
        <w:spacing w:after="0"/>
        <w:ind w:left="0"/>
        <w:jc w:val="both"/>
      </w:pPr>
      <w:r>
        <w:rPr>
          <w:rFonts w:ascii="Times New Roman"/>
          <w:b w:val="false"/>
          <w:i w:val="false"/>
          <w:color w:val="000000"/>
          <w:sz w:val="28"/>
        </w:rPr>
        <w:t>
      Детальное описание расчетов макроэкономических сценариев и показателей содержатся во внутренних документах банка.";</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34" w:id="216"/>
    <w:p>
      <w:pPr>
        <w:spacing w:after="0"/>
        <w:ind w:left="0"/>
        <w:jc w:val="both"/>
      </w:pPr>
      <w:r>
        <w:rPr>
          <w:rFonts w:ascii="Times New Roman"/>
          <w:b w:val="false"/>
          <w:i w:val="false"/>
          <w:color w:val="000000"/>
          <w:sz w:val="28"/>
        </w:rPr>
        <w:t>
      "14. Имеющийся кредитный убыток по индивидуальному кредитно-обесцененному финансовому активу по состоянию на отчетную дату, который не является приобретенным или созданным кредитно-обесцененным финансовым активом, оценивается как разница между валовой балансовой стоимостью финансового актива и приведенной стоимостью будущих денежных потоков, дисконтированных с использованием первоначальной эффективной процентной ставки по финансовому активу и с учетом средневзвешенной вероятности исхода по методу "going-concern" и методу "gone-concern" в сценариях, определенных во внутренних документах финансовой организации.</w:t>
      </w:r>
    </w:p>
    <w:bookmarkEnd w:id="216"/>
    <w:bookmarkStart w:name="z235" w:id="217"/>
    <w:p>
      <w:pPr>
        <w:spacing w:after="0"/>
        <w:ind w:left="0"/>
        <w:jc w:val="both"/>
      </w:pPr>
      <w:r>
        <w:rPr>
          <w:rFonts w:ascii="Times New Roman"/>
          <w:b w:val="false"/>
          <w:i w:val="false"/>
          <w:color w:val="000000"/>
          <w:sz w:val="28"/>
        </w:rPr>
        <w:t>
      Требования к определению сценариев и вероятности исхода по методу "going-concern" и методу "gone-concern", расчету приведенных потоков по сценариям и вероятностям исходов по методу "going-concern" и методу "gone-concern" устанавливаются в Методике расчета провизий (резервов).</w:t>
      </w:r>
    </w:p>
    <w:bookmarkEnd w:id="217"/>
    <w:bookmarkStart w:name="z236" w:id="218"/>
    <w:p>
      <w:pPr>
        <w:spacing w:after="0"/>
        <w:ind w:left="0"/>
        <w:jc w:val="both"/>
      </w:pPr>
      <w:r>
        <w:rPr>
          <w:rFonts w:ascii="Times New Roman"/>
          <w:b w:val="false"/>
          <w:i w:val="false"/>
          <w:color w:val="000000"/>
          <w:sz w:val="28"/>
        </w:rPr>
        <w:t xml:space="preserve">
      Приведенная стоимость будущих денежных потоков рассчитывается по формуле приведенной стоимости будущих денежных потоков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18"/>
    <w:bookmarkStart w:name="z237" w:id="219"/>
    <w:p>
      <w:pPr>
        <w:spacing w:after="0"/>
        <w:ind w:left="0"/>
        <w:jc w:val="both"/>
      </w:pPr>
      <w:r>
        <w:rPr>
          <w:rFonts w:ascii="Times New Roman"/>
          <w:b w:val="false"/>
          <w:i w:val="false"/>
          <w:color w:val="000000"/>
          <w:sz w:val="28"/>
        </w:rPr>
        <w:t>
      15. Кредитно-обесцененный финансовый актив переходит в категорию финансовых активов, имеющих признаки значительного увеличения кредитного риска, при условии погашения контрагентом задолженности за период не менее 12 (двенадцать) месяцев, которое приводит к снижению валовой балансовой стоимости финансового актива на дату формирования провизий (резервов) до уровня равного или ниже суммы задолженности на момент перехода финансового актива в категорию кредитно-обесцененных финансовых активов и в случае отсутствия на дату оценки событий, являющихся объективными подтверждениями обесценения на основе признаков обесценения финансового актива, установленных Методикой расчета провизий (резервов).</w:t>
      </w:r>
    </w:p>
    <w:bookmarkEnd w:id="219"/>
    <w:bookmarkStart w:name="z238" w:id="220"/>
    <w:p>
      <w:pPr>
        <w:spacing w:after="0"/>
        <w:ind w:left="0"/>
        <w:jc w:val="both"/>
      </w:pPr>
      <w:r>
        <w:rPr>
          <w:rFonts w:ascii="Times New Roman"/>
          <w:b w:val="false"/>
          <w:i w:val="false"/>
          <w:color w:val="000000"/>
          <w:sz w:val="28"/>
        </w:rPr>
        <w:t xml:space="preserve">
      Финансовый актив, имеющий признаки значительного увеличения кредитного риска, переходит в категорию финансовых активов, провизии (резервы) по которым формируются в сумме, равной двенадцатимесячным ожидаемым кредитным убыткам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Правил, при условии погашения контрагентом задолженности, которое приводит к снижению валовой балансовой стоимости финансового актива на дату формирования провизий (резервов) до уровня равной или ниже суммы задолженности на момент перехода финансового актива в категорию финансовых активов, имеющих признаки значительного увеличения кредитного риска и отсутствия на дату формирования провизий (резервов) значительного увеличения кредитного риска.</w:t>
      </w:r>
    </w:p>
    <w:bookmarkEnd w:id="220"/>
    <w:bookmarkStart w:name="z239" w:id="221"/>
    <w:p>
      <w:pPr>
        <w:spacing w:after="0"/>
        <w:ind w:left="0"/>
        <w:jc w:val="both"/>
      </w:pPr>
      <w:r>
        <w:rPr>
          <w:rFonts w:ascii="Times New Roman"/>
          <w:b w:val="false"/>
          <w:i w:val="false"/>
          <w:color w:val="000000"/>
          <w:sz w:val="28"/>
        </w:rPr>
        <w:t>
      Условия перехода (реклассификации) займа между стадиями обесценения содержат, но не ограничиваясь, одно или несколько из следующих условий:</w:t>
      </w:r>
    </w:p>
    <w:bookmarkEnd w:id="221"/>
    <w:bookmarkStart w:name="z240" w:id="222"/>
    <w:p>
      <w:pPr>
        <w:spacing w:after="0"/>
        <w:ind w:left="0"/>
        <w:jc w:val="both"/>
      </w:pPr>
      <w:r>
        <w:rPr>
          <w:rFonts w:ascii="Times New Roman"/>
          <w:b w:val="false"/>
          <w:i w:val="false"/>
          <w:color w:val="000000"/>
          <w:sz w:val="28"/>
        </w:rPr>
        <w:t xml:space="preserve">
      1) период с даты предоставления вынужденной реструктуризации, в течение которого не наблюдается ухудшение финансового состояния заемщика, определяется во внутреннем документе финансовой организации и составляет не менее 12 (двенадцати) месяцев. По займам, выданным физическим лицам, оцениваемым на коллективной основе, допускается использовать период не менее 6 (шести) месяцев при наличии исторической статистики погашения реструктуризированных займов, выданных физическим лицам, свидетельствующей о стабилизации динамики выхода на просрочку, начиная с седьмого платежа. По иным событиям, являющимся объективным подтверждением обесценения, определенным </w:t>
      </w:r>
      <w:r>
        <w:rPr>
          <w:rFonts w:ascii="Times New Roman"/>
          <w:b w:val="false"/>
          <w:i w:val="false"/>
          <w:color w:val="000000"/>
          <w:sz w:val="28"/>
        </w:rPr>
        <w:t>пунктом 16</w:t>
      </w:r>
      <w:r>
        <w:rPr>
          <w:rFonts w:ascii="Times New Roman"/>
          <w:b w:val="false"/>
          <w:i w:val="false"/>
          <w:color w:val="000000"/>
          <w:sz w:val="28"/>
        </w:rPr>
        <w:t xml:space="preserve"> Правил – с момента исключения данного события, повлекшего ухудшение стадии кредитного обесценения;</w:t>
      </w:r>
    </w:p>
    <w:bookmarkEnd w:id="222"/>
    <w:bookmarkStart w:name="z241" w:id="223"/>
    <w:p>
      <w:pPr>
        <w:spacing w:after="0"/>
        <w:ind w:left="0"/>
        <w:jc w:val="both"/>
      </w:pPr>
      <w:r>
        <w:rPr>
          <w:rFonts w:ascii="Times New Roman"/>
          <w:b w:val="false"/>
          <w:i w:val="false"/>
          <w:color w:val="000000"/>
          <w:sz w:val="28"/>
        </w:rPr>
        <w:t>
      2) условия, при которых стадия обесценения не меняется (значительная отсрочка платежей и другие условия);</w:t>
      </w:r>
    </w:p>
    <w:bookmarkEnd w:id="223"/>
    <w:bookmarkStart w:name="z242" w:id="224"/>
    <w:p>
      <w:pPr>
        <w:spacing w:after="0"/>
        <w:ind w:left="0"/>
        <w:jc w:val="both"/>
      </w:pPr>
      <w:r>
        <w:rPr>
          <w:rFonts w:ascii="Times New Roman"/>
          <w:b w:val="false"/>
          <w:i w:val="false"/>
          <w:color w:val="000000"/>
          <w:sz w:val="28"/>
        </w:rPr>
        <w:t>
      3) общая сумма платежей, внесенных заемщиком после кредитного обесценения, больше или равна размеру ранее просроченной задолженности;</w:t>
      </w:r>
    </w:p>
    <w:bookmarkEnd w:id="224"/>
    <w:bookmarkStart w:name="z243" w:id="225"/>
    <w:p>
      <w:pPr>
        <w:spacing w:after="0"/>
        <w:ind w:left="0"/>
        <w:jc w:val="both"/>
      </w:pPr>
      <w:r>
        <w:rPr>
          <w:rFonts w:ascii="Times New Roman"/>
          <w:b w:val="false"/>
          <w:i w:val="false"/>
          <w:color w:val="000000"/>
          <w:sz w:val="28"/>
        </w:rPr>
        <w:t>
      4) иные условия, требуемые для улучшения стадии обесценения.</w:t>
      </w:r>
    </w:p>
    <w:bookmarkEnd w:id="225"/>
    <w:bookmarkStart w:name="z244" w:id="226"/>
    <w:p>
      <w:pPr>
        <w:spacing w:after="0"/>
        <w:ind w:left="0"/>
        <w:jc w:val="both"/>
      </w:pPr>
      <w:r>
        <w:rPr>
          <w:rFonts w:ascii="Times New Roman"/>
          <w:b w:val="false"/>
          <w:i w:val="false"/>
          <w:color w:val="000000"/>
          <w:sz w:val="28"/>
        </w:rPr>
        <w:t>
      16. По индивидуальному финансовому активу оценивается наличие одного или нескольких следующих событий, являющихся объективными подтверждениями обесценения:</w:t>
      </w:r>
    </w:p>
    <w:bookmarkEnd w:id="226"/>
    <w:bookmarkStart w:name="z245" w:id="227"/>
    <w:p>
      <w:pPr>
        <w:spacing w:after="0"/>
        <w:ind w:left="0"/>
        <w:jc w:val="both"/>
      </w:pPr>
      <w:r>
        <w:rPr>
          <w:rFonts w:ascii="Times New Roman"/>
          <w:b w:val="false"/>
          <w:i w:val="false"/>
          <w:color w:val="000000"/>
          <w:sz w:val="28"/>
        </w:rPr>
        <w:t>
      1) значительные финансовые затруднения заемщика:</w:t>
      </w:r>
    </w:p>
    <w:bookmarkEnd w:id="227"/>
    <w:bookmarkStart w:name="z246" w:id="228"/>
    <w:p>
      <w:pPr>
        <w:spacing w:after="0"/>
        <w:ind w:left="0"/>
        <w:jc w:val="both"/>
      </w:pPr>
      <w:r>
        <w:rPr>
          <w:rFonts w:ascii="Times New Roman"/>
          <w:b w:val="false"/>
          <w:i w:val="false"/>
          <w:color w:val="000000"/>
          <w:sz w:val="28"/>
        </w:rPr>
        <w:t>
      Для физических лиц:</w:t>
      </w:r>
    </w:p>
    <w:bookmarkEnd w:id="228"/>
    <w:bookmarkStart w:name="z247" w:id="229"/>
    <w:p>
      <w:pPr>
        <w:spacing w:after="0"/>
        <w:ind w:left="0"/>
        <w:jc w:val="both"/>
      </w:pPr>
      <w:r>
        <w:rPr>
          <w:rFonts w:ascii="Times New Roman"/>
          <w:b w:val="false"/>
          <w:i w:val="false"/>
          <w:color w:val="000000"/>
          <w:sz w:val="28"/>
        </w:rPr>
        <w:t>
      наличие у заемщика (созаемщика) внутреннего рейтинга (балла), соответствующего уровню обесценения согласно внутренней методике (внутренним моделям) финансовой организации;</w:t>
      </w:r>
    </w:p>
    <w:bookmarkEnd w:id="229"/>
    <w:bookmarkStart w:name="z248" w:id="230"/>
    <w:p>
      <w:pPr>
        <w:spacing w:after="0"/>
        <w:ind w:left="0"/>
        <w:jc w:val="both"/>
      </w:pPr>
      <w:r>
        <w:rPr>
          <w:rFonts w:ascii="Times New Roman"/>
          <w:b w:val="false"/>
          <w:i w:val="false"/>
          <w:color w:val="000000"/>
          <w:sz w:val="28"/>
        </w:rPr>
        <w:t>
      значительное ухудшение уровня доходов или платежеспособности заемщика (созаемщика) и (или) недостаточность доходов для погашения обязательств;</w:t>
      </w:r>
    </w:p>
    <w:bookmarkEnd w:id="230"/>
    <w:bookmarkStart w:name="z249" w:id="231"/>
    <w:p>
      <w:pPr>
        <w:spacing w:after="0"/>
        <w:ind w:left="0"/>
        <w:jc w:val="both"/>
      </w:pPr>
      <w:r>
        <w:rPr>
          <w:rFonts w:ascii="Times New Roman"/>
          <w:b w:val="false"/>
          <w:i w:val="false"/>
          <w:color w:val="000000"/>
          <w:sz w:val="28"/>
        </w:rPr>
        <w:t>
      отсутствие трудовой занятости или коммерческой деятельности;</w:t>
      </w:r>
    </w:p>
    <w:bookmarkEnd w:id="231"/>
    <w:bookmarkStart w:name="z250" w:id="232"/>
    <w:p>
      <w:pPr>
        <w:spacing w:after="0"/>
        <w:ind w:left="0"/>
        <w:jc w:val="both"/>
      </w:pPr>
      <w:r>
        <w:rPr>
          <w:rFonts w:ascii="Times New Roman"/>
          <w:b w:val="false"/>
          <w:i w:val="false"/>
          <w:color w:val="000000"/>
          <w:sz w:val="28"/>
        </w:rPr>
        <w:t>
      наличие факторов, нанесших заемщику (созаемщику) материальный ущерб или не позволяющих ему продолжать иную коммерческую деятельность;</w:t>
      </w:r>
    </w:p>
    <w:bookmarkEnd w:id="232"/>
    <w:bookmarkStart w:name="z251" w:id="233"/>
    <w:p>
      <w:pPr>
        <w:spacing w:after="0"/>
        <w:ind w:left="0"/>
        <w:jc w:val="both"/>
      </w:pPr>
      <w:r>
        <w:rPr>
          <w:rFonts w:ascii="Times New Roman"/>
          <w:b w:val="false"/>
          <w:i w:val="false"/>
          <w:color w:val="000000"/>
          <w:sz w:val="28"/>
        </w:rPr>
        <w:t>
      смерть заемщика;</w:t>
      </w:r>
    </w:p>
    <w:bookmarkEnd w:id="233"/>
    <w:bookmarkStart w:name="z252" w:id="234"/>
    <w:p>
      <w:pPr>
        <w:spacing w:after="0"/>
        <w:ind w:left="0"/>
        <w:jc w:val="both"/>
      </w:pPr>
      <w:r>
        <w:rPr>
          <w:rFonts w:ascii="Times New Roman"/>
          <w:b w:val="false"/>
          <w:i w:val="false"/>
          <w:color w:val="000000"/>
          <w:sz w:val="28"/>
        </w:rPr>
        <w:t>
      отсутствие кредитного досье.</w:t>
      </w:r>
    </w:p>
    <w:bookmarkEnd w:id="234"/>
    <w:bookmarkStart w:name="z253" w:id="235"/>
    <w:p>
      <w:pPr>
        <w:spacing w:after="0"/>
        <w:ind w:left="0"/>
        <w:jc w:val="both"/>
      </w:pPr>
      <w:r>
        <w:rPr>
          <w:rFonts w:ascii="Times New Roman"/>
          <w:b w:val="false"/>
          <w:i w:val="false"/>
          <w:color w:val="000000"/>
          <w:sz w:val="28"/>
        </w:rPr>
        <w:t>
      Для юридических лиц:</w:t>
      </w:r>
    </w:p>
    <w:bookmarkEnd w:id="235"/>
    <w:bookmarkStart w:name="z254" w:id="236"/>
    <w:p>
      <w:pPr>
        <w:spacing w:after="0"/>
        <w:ind w:left="0"/>
        <w:jc w:val="both"/>
      </w:pPr>
      <w:r>
        <w:rPr>
          <w:rFonts w:ascii="Times New Roman"/>
          <w:b w:val="false"/>
          <w:i w:val="false"/>
          <w:color w:val="000000"/>
          <w:sz w:val="28"/>
        </w:rPr>
        <w:t>
      наличие у заемщика (созаемщика) внутреннего рейтинга (балла), соответствующего уровню обесценения согласно внутренней методике (внутренним моделям) банка;</w:t>
      </w:r>
    </w:p>
    <w:bookmarkEnd w:id="236"/>
    <w:bookmarkStart w:name="z255" w:id="237"/>
    <w:p>
      <w:pPr>
        <w:spacing w:after="0"/>
        <w:ind w:left="0"/>
        <w:jc w:val="both"/>
      </w:pPr>
      <w:r>
        <w:rPr>
          <w:rFonts w:ascii="Times New Roman"/>
          <w:b w:val="false"/>
          <w:i w:val="false"/>
          <w:color w:val="000000"/>
          <w:sz w:val="28"/>
        </w:rPr>
        <w:t>
      наличие обоснованной и подтверждаемой информации о значительных финансовых затруднениях заемщика, выявленных при анализе финансовой отчетности, выписок по движениям денежных средств, мониторинговых отчетов и иной информации из общедоступных источников, при наступлении двух и более из нижеперечисленных случаев:</w:t>
      </w:r>
    </w:p>
    <w:bookmarkEnd w:id="237"/>
    <w:bookmarkStart w:name="z256" w:id="238"/>
    <w:p>
      <w:pPr>
        <w:spacing w:after="0"/>
        <w:ind w:left="0"/>
        <w:jc w:val="both"/>
      </w:pPr>
      <w:r>
        <w:rPr>
          <w:rFonts w:ascii="Times New Roman"/>
          <w:b w:val="false"/>
          <w:i w:val="false"/>
          <w:color w:val="000000"/>
          <w:sz w:val="28"/>
        </w:rPr>
        <w:t>
      отрицательный собственный капитал;</w:t>
      </w:r>
    </w:p>
    <w:bookmarkEnd w:id="238"/>
    <w:bookmarkStart w:name="z257" w:id="239"/>
    <w:p>
      <w:pPr>
        <w:spacing w:after="0"/>
        <w:ind w:left="0"/>
        <w:jc w:val="both"/>
      </w:pPr>
      <w:r>
        <w:rPr>
          <w:rFonts w:ascii="Times New Roman"/>
          <w:b w:val="false"/>
          <w:i w:val="false"/>
          <w:color w:val="000000"/>
          <w:sz w:val="28"/>
        </w:rPr>
        <w:t>
      уменьшение собственного капитала более чем на 50 (пятьдесят) процентов за последние 12 (двенадцать) месяцев;</w:t>
      </w:r>
    </w:p>
    <w:bookmarkEnd w:id="239"/>
    <w:bookmarkStart w:name="z258" w:id="240"/>
    <w:p>
      <w:pPr>
        <w:spacing w:after="0"/>
        <w:ind w:left="0"/>
        <w:jc w:val="both"/>
      </w:pPr>
      <w:r>
        <w:rPr>
          <w:rFonts w:ascii="Times New Roman"/>
          <w:b w:val="false"/>
          <w:i w:val="false"/>
          <w:color w:val="000000"/>
          <w:sz w:val="28"/>
        </w:rPr>
        <w:t>
      снижение выручки более чем на 30 (тридцать) процентов за последние 12 (двенадцать) месяцев;</w:t>
      </w:r>
    </w:p>
    <w:bookmarkEnd w:id="240"/>
    <w:bookmarkStart w:name="z259" w:id="241"/>
    <w:p>
      <w:pPr>
        <w:spacing w:after="0"/>
        <w:ind w:left="0"/>
        <w:jc w:val="both"/>
      </w:pPr>
      <w:r>
        <w:rPr>
          <w:rFonts w:ascii="Times New Roman"/>
          <w:b w:val="false"/>
          <w:i w:val="false"/>
          <w:color w:val="000000"/>
          <w:sz w:val="28"/>
        </w:rPr>
        <w:t>
      потеря и отсутствие замены крупного клиента за последние 12 (двенадцать) месяцев;</w:t>
      </w:r>
    </w:p>
    <w:bookmarkEnd w:id="241"/>
    <w:bookmarkStart w:name="z260" w:id="242"/>
    <w:p>
      <w:pPr>
        <w:spacing w:after="0"/>
        <w:ind w:left="0"/>
        <w:jc w:val="both"/>
      </w:pPr>
      <w:r>
        <w:rPr>
          <w:rFonts w:ascii="Times New Roman"/>
          <w:b w:val="false"/>
          <w:i w:val="false"/>
          <w:color w:val="000000"/>
          <w:sz w:val="28"/>
        </w:rPr>
        <w:t>
      соотношение обязательств на активы составляет более 0,8;</w:t>
      </w:r>
    </w:p>
    <w:bookmarkEnd w:id="242"/>
    <w:bookmarkStart w:name="z261" w:id="243"/>
    <w:p>
      <w:pPr>
        <w:spacing w:after="0"/>
        <w:ind w:left="0"/>
        <w:jc w:val="both"/>
      </w:pPr>
      <w:r>
        <w:rPr>
          <w:rFonts w:ascii="Times New Roman"/>
          <w:b w:val="false"/>
          <w:i w:val="false"/>
          <w:color w:val="000000"/>
          <w:sz w:val="28"/>
        </w:rPr>
        <w:t>
      коэффициент покрытия процентов, который рассчитывается как отношение EBIT (прибыль до вычета процентов и налогов) на расходы по процентам, составляет менее 1,5;</w:t>
      </w:r>
    </w:p>
    <w:bookmarkEnd w:id="243"/>
    <w:bookmarkStart w:name="z262" w:id="244"/>
    <w:p>
      <w:pPr>
        <w:spacing w:after="0"/>
        <w:ind w:left="0"/>
        <w:jc w:val="both"/>
      </w:pPr>
      <w:r>
        <w:rPr>
          <w:rFonts w:ascii="Times New Roman"/>
          <w:b w:val="false"/>
          <w:i w:val="false"/>
          <w:color w:val="000000"/>
          <w:sz w:val="28"/>
        </w:rPr>
        <w:t>
      среднегодовой коэффициент текущей ликвидности, который рассчитывается как отношение текущих активов на текущие обязательства, составляет менее 1 за последние 12 (двенадцать) месяцев;</w:t>
      </w:r>
    </w:p>
    <w:bookmarkEnd w:id="244"/>
    <w:bookmarkStart w:name="z263" w:id="245"/>
    <w:p>
      <w:pPr>
        <w:spacing w:after="0"/>
        <w:ind w:left="0"/>
        <w:jc w:val="both"/>
      </w:pPr>
      <w:r>
        <w:rPr>
          <w:rFonts w:ascii="Times New Roman"/>
          <w:b w:val="false"/>
          <w:i w:val="false"/>
          <w:color w:val="000000"/>
          <w:sz w:val="28"/>
        </w:rPr>
        <w:t>
      отрицательный среднегодовой денежный операционный поток согласно отчету о движении денежных средств за последние 12 (двенадцать) месяцев;</w:t>
      </w:r>
    </w:p>
    <w:bookmarkEnd w:id="245"/>
    <w:bookmarkStart w:name="z264" w:id="246"/>
    <w:p>
      <w:pPr>
        <w:spacing w:after="0"/>
        <w:ind w:left="0"/>
        <w:jc w:val="both"/>
      </w:pPr>
      <w:r>
        <w:rPr>
          <w:rFonts w:ascii="Times New Roman"/>
          <w:b w:val="false"/>
          <w:i w:val="false"/>
          <w:color w:val="000000"/>
          <w:sz w:val="28"/>
        </w:rPr>
        <w:t>
      наличие форс-мажорных обстоятельств, а также иных обстоятельств, нанесших заемщику (созаемщику) материальный ущерб, но не повлекших прекращение его деятельности;</w:t>
      </w:r>
    </w:p>
    <w:bookmarkEnd w:id="246"/>
    <w:bookmarkStart w:name="z265" w:id="247"/>
    <w:p>
      <w:pPr>
        <w:spacing w:after="0"/>
        <w:ind w:left="0"/>
        <w:jc w:val="both"/>
      </w:pPr>
      <w:r>
        <w:rPr>
          <w:rFonts w:ascii="Times New Roman"/>
          <w:b w:val="false"/>
          <w:i w:val="false"/>
          <w:color w:val="000000"/>
          <w:sz w:val="28"/>
        </w:rPr>
        <w:t>
      отсутствие актуальной подписанной финансовой отчетности (на дату не ранее чем за 6 (шесть) месяцев до расчета провизий);</w:t>
      </w:r>
    </w:p>
    <w:bookmarkEnd w:id="247"/>
    <w:bookmarkStart w:name="z266" w:id="248"/>
    <w:p>
      <w:pPr>
        <w:spacing w:after="0"/>
        <w:ind w:left="0"/>
        <w:jc w:val="both"/>
      </w:pPr>
      <w:r>
        <w:rPr>
          <w:rFonts w:ascii="Times New Roman"/>
          <w:b w:val="false"/>
          <w:i w:val="false"/>
          <w:color w:val="000000"/>
          <w:sz w:val="28"/>
        </w:rPr>
        <w:t>
      отсутствие кредитного досье;</w:t>
      </w:r>
    </w:p>
    <w:bookmarkEnd w:id="248"/>
    <w:bookmarkStart w:name="z267" w:id="249"/>
    <w:p>
      <w:pPr>
        <w:spacing w:after="0"/>
        <w:ind w:left="0"/>
        <w:jc w:val="both"/>
      </w:pPr>
      <w:r>
        <w:rPr>
          <w:rFonts w:ascii="Times New Roman"/>
          <w:b w:val="false"/>
          <w:i w:val="false"/>
          <w:color w:val="000000"/>
          <w:sz w:val="28"/>
        </w:rPr>
        <w:t>
      2) нарушение условий договора, в том числе:</w:t>
      </w:r>
    </w:p>
    <w:bookmarkEnd w:id="249"/>
    <w:bookmarkStart w:name="z268" w:id="250"/>
    <w:p>
      <w:pPr>
        <w:spacing w:after="0"/>
        <w:ind w:left="0"/>
        <w:jc w:val="both"/>
      </w:pPr>
      <w:r>
        <w:rPr>
          <w:rFonts w:ascii="Times New Roman"/>
          <w:b w:val="false"/>
          <w:i w:val="false"/>
          <w:color w:val="000000"/>
          <w:sz w:val="28"/>
        </w:rPr>
        <w:t>
      наличие просроченной задолженности по основному долгу и (или) вознаграждению сроком свыше 60 (шестидесяти) календарных дней;</w:t>
      </w:r>
    </w:p>
    <w:bookmarkEnd w:id="250"/>
    <w:bookmarkStart w:name="z269" w:id="251"/>
    <w:p>
      <w:pPr>
        <w:spacing w:after="0"/>
        <w:ind w:left="0"/>
        <w:jc w:val="both"/>
      </w:pPr>
      <w:r>
        <w:rPr>
          <w:rFonts w:ascii="Times New Roman"/>
          <w:b w:val="false"/>
          <w:i w:val="false"/>
          <w:color w:val="000000"/>
          <w:sz w:val="28"/>
        </w:rPr>
        <w:t>
      нецелевое использование займа, более 25 (двадцати пяти) процентов от размера кредитной линии, за исключением случаев, финансирования на пополнение оборотных средств;</w:t>
      </w:r>
    </w:p>
    <w:bookmarkEnd w:id="251"/>
    <w:bookmarkStart w:name="z270" w:id="252"/>
    <w:p>
      <w:pPr>
        <w:spacing w:after="0"/>
        <w:ind w:left="0"/>
        <w:jc w:val="both"/>
      </w:pPr>
      <w:r>
        <w:rPr>
          <w:rFonts w:ascii="Times New Roman"/>
          <w:b w:val="false"/>
          <w:i w:val="false"/>
          <w:color w:val="000000"/>
          <w:sz w:val="28"/>
        </w:rPr>
        <w:t>
      3) вынужденная реструктуризация займа за последние 12 (двенадцать) месяцев;</w:t>
      </w:r>
    </w:p>
    <w:bookmarkEnd w:id="252"/>
    <w:bookmarkStart w:name="z271" w:id="253"/>
    <w:p>
      <w:pPr>
        <w:spacing w:after="0"/>
        <w:ind w:left="0"/>
        <w:jc w:val="both"/>
      </w:pPr>
      <w:r>
        <w:rPr>
          <w:rFonts w:ascii="Times New Roman"/>
          <w:b w:val="false"/>
          <w:i w:val="false"/>
          <w:color w:val="000000"/>
          <w:sz w:val="28"/>
        </w:rPr>
        <w:t>
      4) появление вероятности банкротства или иной финансовой реорганизации заемщика:</w:t>
      </w:r>
    </w:p>
    <w:bookmarkEnd w:id="253"/>
    <w:bookmarkStart w:name="z272" w:id="254"/>
    <w:p>
      <w:pPr>
        <w:spacing w:after="0"/>
        <w:ind w:left="0"/>
        <w:jc w:val="both"/>
      </w:pPr>
      <w:r>
        <w:rPr>
          <w:rFonts w:ascii="Times New Roman"/>
          <w:b w:val="false"/>
          <w:i w:val="false"/>
          <w:color w:val="000000"/>
          <w:sz w:val="28"/>
        </w:rPr>
        <w:t>
      заемщик подал заявление о банкротстве;</w:t>
      </w:r>
    </w:p>
    <w:bookmarkEnd w:id="254"/>
    <w:bookmarkStart w:name="z273" w:id="255"/>
    <w:p>
      <w:pPr>
        <w:spacing w:after="0"/>
        <w:ind w:left="0"/>
        <w:jc w:val="both"/>
      </w:pPr>
      <w:r>
        <w:rPr>
          <w:rFonts w:ascii="Times New Roman"/>
          <w:b w:val="false"/>
          <w:i w:val="false"/>
          <w:color w:val="000000"/>
          <w:sz w:val="28"/>
        </w:rPr>
        <w:t>
      юридическое лицо, имеющее договорные обязательства по погашению задолженности заемщика в случае наступления его неплатежеспособности, с активами более 10 (десяти) процентов от активов консолидированной финансовой отчетности группы лиц, имеющих договорные обязательства с заемщиком по погашению его задолженности в случае наступления его неплатежеспособности, подало заявление о банкротстве;</w:t>
      </w:r>
    </w:p>
    <w:bookmarkEnd w:id="255"/>
    <w:bookmarkStart w:name="z274" w:id="256"/>
    <w:p>
      <w:pPr>
        <w:spacing w:after="0"/>
        <w:ind w:left="0"/>
        <w:jc w:val="both"/>
      </w:pPr>
      <w:r>
        <w:rPr>
          <w:rFonts w:ascii="Times New Roman"/>
          <w:b w:val="false"/>
          <w:i w:val="false"/>
          <w:color w:val="000000"/>
          <w:sz w:val="28"/>
        </w:rPr>
        <w:t>
      5) иные события, установленные Методикой расчета провизий (резервов).</w:t>
      </w:r>
    </w:p>
    <w:bookmarkEnd w:id="256"/>
    <w:bookmarkStart w:name="z275" w:id="257"/>
    <w:p>
      <w:pPr>
        <w:spacing w:after="0"/>
        <w:ind w:left="0"/>
        <w:jc w:val="both"/>
      </w:pPr>
      <w:r>
        <w:rPr>
          <w:rFonts w:ascii="Times New Roman"/>
          <w:b w:val="false"/>
          <w:i w:val="false"/>
          <w:color w:val="000000"/>
          <w:sz w:val="28"/>
        </w:rPr>
        <w:t>
      Финансовая организация определяет индивидуальный финансовый актив с признаками обесценения в иную категорию финансовых активов при одновременном выполнении следующих условий:</w:t>
      </w:r>
    </w:p>
    <w:bookmarkEnd w:id="257"/>
    <w:bookmarkStart w:name="z276" w:id="258"/>
    <w:p>
      <w:pPr>
        <w:spacing w:after="0"/>
        <w:ind w:left="0"/>
        <w:jc w:val="both"/>
      </w:pPr>
      <w:r>
        <w:rPr>
          <w:rFonts w:ascii="Times New Roman"/>
          <w:b w:val="false"/>
          <w:i w:val="false"/>
          <w:color w:val="000000"/>
          <w:sz w:val="28"/>
        </w:rPr>
        <w:t>
      наличие заключения подразделения по управлению рисками финансовой организации по не отнесению индивидуального финансового актива в категорию кредитно-обесцененных финансовых активов с указанием обоснованных доводов и соответствующих расчетов согласно внутренним документам финансовой организации;</w:t>
      </w:r>
    </w:p>
    <w:bookmarkEnd w:id="258"/>
    <w:bookmarkStart w:name="z277" w:id="259"/>
    <w:p>
      <w:pPr>
        <w:spacing w:after="0"/>
        <w:ind w:left="0"/>
        <w:jc w:val="both"/>
      </w:pPr>
      <w:r>
        <w:rPr>
          <w:rFonts w:ascii="Times New Roman"/>
          <w:b w:val="false"/>
          <w:i w:val="false"/>
          <w:color w:val="000000"/>
          <w:sz w:val="28"/>
        </w:rPr>
        <w:t>
      наличие решения уполномоченного коллегиального органа финансовой организации, принявшего решение о финансировании, по не отнесению индивидуального финансового актива в категорию кредитно-обесцененных финансовых активов;</w:t>
      </w:r>
    </w:p>
    <w:bookmarkEnd w:id="259"/>
    <w:bookmarkStart w:name="z278" w:id="260"/>
    <w:p>
      <w:pPr>
        <w:spacing w:after="0"/>
        <w:ind w:left="0"/>
        <w:jc w:val="both"/>
      </w:pPr>
      <w:r>
        <w:rPr>
          <w:rFonts w:ascii="Times New Roman"/>
          <w:b w:val="false"/>
          <w:i w:val="false"/>
          <w:color w:val="000000"/>
          <w:sz w:val="28"/>
        </w:rPr>
        <w:t>
      совокупная валовая балансовая стоимость индивидуальных финансовых активов с признаками обесценения, подлежащих отнесению в иную категорию финансовых активов, не превышает 5 (пять) процентов от собственного капитала финансовой организации.</w:t>
      </w:r>
    </w:p>
    <w:bookmarkEnd w:id="260"/>
    <w:bookmarkStart w:name="z279" w:id="261"/>
    <w:p>
      <w:pPr>
        <w:spacing w:after="0"/>
        <w:ind w:left="0"/>
        <w:jc w:val="both"/>
      </w:pPr>
      <w:r>
        <w:rPr>
          <w:rFonts w:ascii="Times New Roman"/>
          <w:b w:val="false"/>
          <w:i w:val="false"/>
          <w:color w:val="000000"/>
          <w:sz w:val="28"/>
        </w:rPr>
        <w:t>
      При наличии внутренней рейтинговой модели, разработанной и (или) протестированной с участием международных организаций (экспертов) в области моделирования рейтинговых оценок или их специализированных подразделений, финансовая организация для целей определения наличия значительных финансовых затруднений заемщика использует внутренний рейтинг.</w:t>
      </w:r>
    </w:p>
    <w:bookmarkEnd w:id="261"/>
    <w:bookmarkStart w:name="z280" w:id="262"/>
    <w:p>
      <w:pPr>
        <w:spacing w:after="0"/>
        <w:ind w:left="0"/>
        <w:jc w:val="both"/>
      </w:pPr>
      <w:r>
        <w:rPr>
          <w:rFonts w:ascii="Times New Roman"/>
          <w:b w:val="false"/>
          <w:i w:val="false"/>
          <w:color w:val="000000"/>
          <w:sz w:val="28"/>
        </w:rPr>
        <w:t>
      Международными организациями (экспертами) в области моделирования рейтинговых оценок признаются:</w:t>
      </w:r>
    </w:p>
    <w:bookmarkEnd w:id="262"/>
    <w:bookmarkStart w:name="z281" w:id="263"/>
    <w:p>
      <w:pPr>
        <w:spacing w:after="0"/>
        <w:ind w:left="0"/>
        <w:jc w:val="both"/>
      </w:pPr>
      <w:r>
        <w:rPr>
          <w:rFonts w:ascii="Times New Roman"/>
          <w:b w:val="false"/>
          <w:i w:val="false"/>
          <w:color w:val="000000"/>
          <w:sz w:val="28"/>
        </w:rPr>
        <w:t>
      Standard &amp; Poor’s Financial Services LLC (Стандард энд Пурс Файнэншл Сервисез);</w:t>
      </w:r>
    </w:p>
    <w:bookmarkEnd w:id="263"/>
    <w:bookmarkStart w:name="z282" w:id="264"/>
    <w:p>
      <w:pPr>
        <w:spacing w:after="0"/>
        <w:ind w:left="0"/>
        <w:jc w:val="both"/>
      </w:pPr>
      <w:r>
        <w:rPr>
          <w:rFonts w:ascii="Times New Roman"/>
          <w:b w:val="false"/>
          <w:i w:val="false"/>
          <w:color w:val="000000"/>
          <w:sz w:val="28"/>
        </w:rPr>
        <w:t>
      Fitch Ratings Inc. (Фич Рейтингс);</w:t>
      </w:r>
    </w:p>
    <w:bookmarkEnd w:id="264"/>
    <w:bookmarkStart w:name="z283" w:id="265"/>
    <w:p>
      <w:pPr>
        <w:spacing w:after="0"/>
        <w:ind w:left="0"/>
        <w:jc w:val="both"/>
      </w:pPr>
      <w:r>
        <w:rPr>
          <w:rFonts w:ascii="Times New Roman"/>
          <w:b w:val="false"/>
          <w:i w:val="false"/>
          <w:color w:val="000000"/>
          <w:sz w:val="28"/>
        </w:rPr>
        <w:t>
      Moody’s Investors Service (Мудис Инвесторс Сервис);</w:t>
      </w:r>
    </w:p>
    <w:bookmarkEnd w:id="265"/>
    <w:bookmarkStart w:name="z284" w:id="266"/>
    <w:p>
      <w:pPr>
        <w:spacing w:after="0"/>
        <w:ind w:left="0"/>
        <w:jc w:val="both"/>
      </w:pPr>
      <w:r>
        <w:rPr>
          <w:rFonts w:ascii="Times New Roman"/>
          <w:b w:val="false"/>
          <w:i w:val="false"/>
          <w:color w:val="000000"/>
          <w:sz w:val="28"/>
        </w:rPr>
        <w:t>
      Oliver Wyman (Оливер Вайман);</w:t>
      </w:r>
    </w:p>
    <w:bookmarkEnd w:id="266"/>
    <w:bookmarkStart w:name="z285" w:id="267"/>
    <w:p>
      <w:pPr>
        <w:spacing w:after="0"/>
        <w:ind w:left="0"/>
        <w:jc w:val="both"/>
      </w:pPr>
      <w:r>
        <w:rPr>
          <w:rFonts w:ascii="Times New Roman"/>
          <w:b w:val="false"/>
          <w:i w:val="false"/>
          <w:color w:val="000000"/>
          <w:sz w:val="28"/>
        </w:rPr>
        <w:t>
      Boston Consulting Group (Бостон Консалтинг Групп);</w:t>
      </w:r>
    </w:p>
    <w:bookmarkEnd w:id="267"/>
    <w:bookmarkStart w:name="z286" w:id="268"/>
    <w:p>
      <w:pPr>
        <w:spacing w:after="0"/>
        <w:ind w:left="0"/>
        <w:jc w:val="both"/>
      </w:pPr>
      <w:r>
        <w:rPr>
          <w:rFonts w:ascii="Times New Roman"/>
          <w:b w:val="false"/>
          <w:i w:val="false"/>
          <w:color w:val="000000"/>
          <w:sz w:val="28"/>
        </w:rPr>
        <w:t>
      McKinsey &amp; Company (Маккинзи энд Компани);</w:t>
      </w:r>
    </w:p>
    <w:bookmarkEnd w:id="268"/>
    <w:bookmarkStart w:name="z287" w:id="269"/>
    <w:p>
      <w:pPr>
        <w:spacing w:after="0"/>
        <w:ind w:left="0"/>
        <w:jc w:val="both"/>
      </w:pPr>
      <w:r>
        <w:rPr>
          <w:rFonts w:ascii="Times New Roman"/>
          <w:b w:val="false"/>
          <w:i w:val="false"/>
          <w:color w:val="000000"/>
          <w:sz w:val="28"/>
        </w:rPr>
        <w:t>
      Fair, Isaac and Company (FICO) (Фэйр, Исаак энд Компани);</w:t>
      </w:r>
    </w:p>
    <w:bookmarkEnd w:id="269"/>
    <w:bookmarkStart w:name="z288" w:id="270"/>
    <w:p>
      <w:pPr>
        <w:spacing w:after="0"/>
        <w:ind w:left="0"/>
        <w:jc w:val="both"/>
      </w:pPr>
      <w:r>
        <w:rPr>
          <w:rFonts w:ascii="Times New Roman"/>
          <w:b w:val="false"/>
          <w:i w:val="false"/>
          <w:color w:val="000000"/>
          <w:sz w:val="28"/>
        </w:rPr>
        <w:t>
      Experian plc. (Экспириан);</w:t>
      </w:r>
    </w:p>
    <w:bookmarkEnd w:id="270"/>
    <w:bookmarkStart w:name="z289" w:id="271"/>
    <w:p>
      <w:pPr>
        <w:spacing w:after="0"/>
        <w:ind w:left="0"/>
        <w:jc w:val="both"/>
      </w:pPr>
      <w:r>
        <w:rPr>
          <w:rFonts w:ascii="Times New Roman"/>
          <w:b w:val="false"/>
          <w:i w:val="false"/>
          <w:color w:val="000000"/>
          <w:sz w:val="28"/>
        </w:rPr>
        <w:t>
      Deloitte Touche Tohmatsu Limited (Делойт Туш Томацу Лимитед);</w:t>
      </w:r>
    </w:p>
    <w:bookmarkEnd w:id="271"/>
    <w:bookmarkStart w:name="z290" w:id="272"/>
    <w:p>
      <w:pPr>
        <w:spacing w:after="0"/>
        <w:ind w:left="0"/>
        <w:jc w:val="both"/>
      </w:pPr>
      <w:r>
        <w:rPr>
          <w:rFonts w:ascii="Times New Roman"/>
          <w:b w:val="false"/>
          <w:i w:val="false"/>
          <w:color w:val="000000"/>
          <w:sz w:val="28"/>
        </w:rPr>
        <w:t>
      Ernst &amp; Young Global Limited (Эрнст энд Янг Глобал Лимитед);</w:t>
      </w:r>
    </w:p>
    <w:bookmarkEnd w:id="272"/>
    <w:bookmarkStart w:name="z291" w:id="273"/>
    <w:p>
      <w:pPr>
        <w:spacing w:after="0"/>
        <w:ind w:left="0"/>
        <w:jc w:val="both"/>
      </w:pPr>
      <w:r>
        <w:rPr>
          <w:rFonts w:ascii="Times New Roman"/>
          <w:b w:val="false"/>
          <w:i w:val="false"/>
          <w:color w:val="000000"/>
          <w:sz w:val="28"/>
        </w:rPr>
        <w:t>
      KPMG (КиПиЭмДжи);</w:t>
      </w:r>
    </w:p>
    <w:bookmarkEnd w:id="273"/>
    <w:bookmarkStart w:name="z292" w:id="274"/>
    <w:p>
      <w:pPr>
        <w:spacing w:after="0"/>
        <w:ind w:left="0"/>
        <w:jc w:val="both"/>
      </w:pPr>
      <w:r>
        <w:rPr>
          <w:rFonts w:ascii="Times New Roman"/>
          <w:b w:val="false"/>
          <w:i w:val="false"/>
          <w:color w:val="000000"/>
          <w:sz w:val="28"/>
        </w:rPr>
        <w:t>
      PricewaterhouseCoopers International Limited (ПрайсуотерхаусКуперс Интернэшнл Лимитед).</w:t>
      </w:r>
    </w:p>
    <w:bookmarkEnd w:id="274"/>
    <w:bookmarkStart w:name="z293" w:id="275"/>
    <w:p>
      <w:pPr>
        <w:spacing w:after="0"/>
        <w:ind w:left="0"/>
        <w:jc w:val="both"/>
      </w:pPr>
      <w:r>
        <w:rPr>
          <w:rFonts w:ascii="Times New Roman"/>
          <w:b w:val="false"/>
          <w:i w:val="false"/>
          <w:color w:val="000000"/>
          <w:sz w:val="28"/>
        </w:rPr>
        <w:t>
      Для обследования дискриминирующей способности рейтинговых моделей используется один из следующих статистических инструментариев:</w:t>
      </w:r>
    </w:p>
    <w:bookmarkEnd w:id="275"/>
    <w:bookmarkStart w:name="z294" w:id="276"/>
    <w:p>
      <w:pPr>
        <w:spacing w:after="0"/>
        <w:ind w:left="0"/>
        <w:jc w:val="both"/>
      </w:pPr>
      <w:r>
        <w:rPr>
          <w:rFonts w:ascii="Times New Roman"/>
          <w:b w:val="false"/>
          <w:i w:val="false"/>
          <w:color w:val="000000"/>
          <w:sz w:val="28"/>
        </w:rPr>
        <w:t>
      GINI-index (Джини-индекс);</w:t>
      </w:r>
    </w:p>
    <w:bookmarkEnd w:id="276"/>
    <w:bookmarkStart w:name="z295" w:id="277"/>
    <w:p>
      <w:pPr>
        <w:spacing w:after="0"/>
        <w:ind w:left="0"/>
        <w:jc w:val="both"/>
      </w:pPr>
      <w:r>
        <w:rPr>
          <w:rFonts w:ascii="Times New Roman"/>
          <w:b w:val="false"/>
          <w:i w:val="false"/>
          <w:color w:val="000000"/>
          <w:sz w:val="28"/>
        </w:rPr>
        <w:t>
      AUC (Area Under the Curve - "площадь под кривой");</w:t>
      </w:r>
    </w:p>
    <w:bookmarkEnd w:id="277"/>
    <w:bookmarkStart w:name="z296" w:id="278"/>
    <w:p>
      <w:pPr>
        <w:spacing w:after="0"/>
        <w:ind w:left="0"/>
        <w:jc w:val="both"/>
      </w:pPr>
      <w:r>
        <w:rPr>
          <w:rFonts w:ascii="Times New Roman"/>
          <w:b w:val="false"/>
          <w:i w:val="false"/>
          <w:color w:val="000000"/>
          <w:sz w:val="28"/>
        </w:rPr>
        <w:t>
      Kendall Tau’s (Кендалл Тау);</w:t>
      </w:r>
    </w:p>
    <w:bookmarkEnd w:id="278"/>
    <w:bookmarkStart w:name="z297" w:id="279"/>
    <w:p>
      <w:pPr>
        <w:spacing w:after="0"/>
        <w:ind w:left="0"/>
        <w:jc w:val="both"/>
      </w:pPr>
      <w:r>
        <w:rPr>
          <w:rFonts w:ascii="Times New Roman"/>
          <w:b w:val="false"/>
          <w:i w:val="false"/>
          <w:color w:val="000000"/>
          <w:sz w:val="28"/>
        </w:rPr>
        <w:t>
      иные статистические методы.</w:t>
      </w:r>
    </w:p>
    <w:bookmarkEnd w:id="279"/>
    <w:bookmarkStart w:name="z298" w:id="280"/>
    <w:p>
      <w:pPr>
        <w:spacing w:after="0"/>
        <w:ind w:left="0"/>
        <w:jc w:val="both"/>
      </w:pPr>
      <w:r>
        <w:rPr>
          <w:rFonts w:ascii="Times New Roman"/>
          <w:b w:val="false"/>
          <w:i w:val="false"/>
          <w:color w:val="000000"/>
          <w:sz w:val="28"/>
        </w:rPr>
        <w:t>
      Рейтинговая модель валидна и допустима к использованию при соблюдении следующих критериев:</w:t>
      </w:r>
    </w:p>
    <w:bookmarkEnd w:id="280"/>
    <w:bookmarkStart w:name="z299" w:id="281"/>
    <w:p>
      <w:pPr>
        <w:spacing w:after="0"/>
        <w:ind w:left="0"/>
        <w:jc w:val="both"/>
      </w:pPr>
      <w:r>
        <w:rPr>
          <w:rFonts w:ascii="Times New Roman"/>
          <w:b w:val="false"/>
          <w:i w:val="false"/>
          <w:color w:val="000000"/>
          <w:sz w:val="28"/>
        </w:rPr>
        <w:t>
      обладает хорошей дискриминирующей способностью, когда статистические критерии принимают одно из следующих значений: кривая AUC &gt; 70 (семидесяти) процентов, GINI-index &gt; 40 (сорока) процентов, Kendall Tau’s &gt; 60 (шестидесяти) процентов;</w:t>
      </w:r>
    </w:p>
    <w:bookmarkEnd w:id="281"/>
    <w:bookmarkStart w:name="z300" w:id="282"/>
    <w:p>
      <w:pPr>
        <w:spacing w:after="0"/>
        <w:ind w:left="0"/>
        <w:jc w:val="both"/>
      </w:pPr>
      <w:r>
        <w:rPr>
          <w:rFonts w:ascii="Times New Roman"/>
          <w:b w:val="false"/>
          <w:i w:val="false"/>
          <w:color w:val="000000"/>
          <w:sz w:val="28"/>
        </w:rPr>
        <w:t>
      глубина используемых статистических данных для построения модели составляет не менее 3 (трех) лет;</w:t>
      </w:r>
    </w:p>
    <w:bookmarkEnd w:id="282"/>
    <w:bookmarkStart w:name="z301" w:id="283"/>
    <w:p>
      <w:pPr>
        <w:spacing w:after="0"/>
        <w:ind w:left="0"/>
        <w:jc w:val="both"/>
      </w:pPr>
      <w:r>
        <w:rPr>
          <w:rFonts w:ascii="Times New Roman"/>
          <w:b w:val="false"/>
          <w:i w:val="false"/>
          <w:color w:val="000000"/>
          <w:sz w:val="28"/>
        </w:rPr>
        <w:t>
      вес количественных показателей составляет не менее 40 (сорока) процентов.</w:t>
      </w:r>
    </w:p>
    <w:bookmarkEnd w:id="283"/>
    <w:bookmarkStart w:name="z302" w:id="284"/>
    <w:p>
      <w:pPr>
        <w:spacing w:after="0"/>
        <w:ind w:left="0"/>
        <w:jc w:val="both"/>
      </w:pPr>
      <w:r>
        <w:rPr>
          <w:rFonts w:ascii="Times New Roman"/>
          <w:b w:val="false"/>
          <w:i w:val="false"/>
          <w:color w:val="000000"/>
          <w:sz w:val="28"/>
        </w:rPr>
        <w:t>
      Валидация осуществляется не реже 1 (одного) раза в 2 (два) года независимым подразделением финансовой организации либо с привлечением независимой третьей стороны.</w:t>
      </w:r>
    </w:p>
    <w:bookmarkEnd w:id="284"/>
    <w:bookmarkStart w:name="z303" w:id="285"/>
    <w:p>
      <w:pPr>
        <w:spacing w:after="0"/>
        <w:ind w:left="0"/>
        <w:jc w:val="both"/>
      </w:pPr>
      <w:r>
        <w:rPr>
          <w:rFonts w:ascii="Times New Roman"/>
          <w:b w:val="false"/>
          <w:i w:val="false"/>
          <w:color w:val="000000"/>
          <w:sz w:val="28"/>
        </w:rPr>
        <w:t>
      Независимое подразделение, ответственное за валидацию рейтинговой модели, соответствует следующим требованиям:</w:t>
      </w:r>
    </w:p>
    <w:bookmarkEnd w:id="285"/>
    <w:bookmarkStart w:name="z304" w:id="286"/>
    <w:p>
      <w:pPr>
        <w:spacing w:after="0"/>
        <w:ind w:left="0"/>
        <w:jc w:val="both"/>
      </w:pPr>
      <w:r>
        <w:rPr>
          <w:rFonts w:ascii="Times New Roman"/>
          <w:b w:val="false"/>
          <w:i w:val="false"/>
          <w:color w:val="000000"/>
          <w:sz w:val="28"/>
        </w:rPr>
        <w:t>
      подразделение независимо от других функций, предназначенных для разработки и поддержки инструментов моделей, а также для обработки процессов и процедур кредитного риска;</w:t>
      </w:r>
    </w:p>
    <w:bookmarkEnd w:id="286"/>
    <w:bookmarkStart w:name="z305" w:id="287"/>
    <w:p>
      <w:pPr>
        <w:spacing w:after="0"/>
        <w:ind w:left="0"/>
        <w:jc w:val="both"/>
      </w:pPr>
      <w:r>
        <w:rPr>
          <w:rFonts w:ascii="Times New Roman"/>
          <w:b w:val="false"/>
          <w:i w:val="false"/>
          <w:color w:val="000000"/>
          <w:sz w:val="28"/>
        </w:rPr>
        <w:t>
      подразделение независимо от лиц, участвующих в присвоении рейтингов и кредитовании;</w:t>
      </w:r>
    </w:p>
    <w:bookmarkEnd w:id="287"/>
    <w:bookmarkStart w:name="z306" w:id="288"/>
    <w:p>
      <w:pPr>
        <w:spacing w:after="0"/>
        <w:ind w:left="0"/>
        <w:jc w:val="both"/>
      </w:pPr>
      <w:r>
        <w:rPr>
          <w:rFonts w:ascii="Times New Roman"/>
          <w:b w:val="false"/>
          <w:i w:val="false"/>
          <w:color w:val="000000"/>
          <w:sz w:val="28"/>
        </w:rPr>
        <w:t>
      подразделение не подотчетно лицам, ответственным за присвоение рейтингов и кредитование;</w:t>
      </w:r>
    </w:p>
    <w:bookmarkEnd w:id="288"/>
    <w:bookmarkStart w:name="z307" w:id="289"/>
    <w:p>
      <w:pPr>
        <w:spacing w:after="0"/>
        <w:ind w:left="0"/>
        <w:jc w:val="both"/>
      </w:pPr>
      <w:r>
        <w:rPr>
          <w:rFonts w:ascii="Times New Roman"/>
          <w:b w:val="false"/>
          <w:i w:val="false"/>
          <w:color w:val="000000"/>
          <w:sz w:val="28"/>
        </w:rPr>
        <w:t>
      подразделение независимо от службы внутреннего аудита.</w:t>
      </w:r>
    </w:p>
    <w:bookmarkEnd w:id="289"/>
    <w:bookmarkStart w:name="z308" w:id="290"/>
    <w:p>
      <w:pPr>
        <w:spacing w:after="0"/>
        <w:ind w:left="0"/>
        <w:jc w:val="both"/>
      </w:pPr>
      <w:r>
        <w:rPr>
          <w:rFonts w:ascii="Times New Roman"/>
          <w:b w:val="false"/>
          <w:i w:val="false"/>
          <w:color w:val="000000"/>
          <w:sz w:val="28"/>
        </w:rPr>
        <w:t>
      Участники валидации рейтинговой модели соответствуют следующим требованиям:</w:t>
      </w:r>
    </w:p>
    <w:bookmarkEnd w:id="290"/>
    <w:bookmarkStart w:name="z309" w:id="291"/>
    <w:p>
      <w:pPr>
        <w:spacing w:after="0"/>
        <w:ind w:left="0"/>
        <w:jc w:val="both"/>
      </w:pPr>
      <w:r>
        <w:rPr>
          <w:rFonts w:ascii="Times New Roman"/>
          <w:b w:val="false"/>
          <w:i w:val="false"/>
          <w:color w:val="000000"/>
          <w:sz w:val="28"/>
        </w:rPr>
        <w:t>
      наличие степени магистра (или эквивалента) в областях статистики, математики, науки о данных или связанной с ней количественной области;</w:t>
      </w:r>
    </w:p>
    <w:bookmarkEnd w:id="291"/>
    <w:bookmarkStart w:name="z310" w:id="292"/>
    <w:p>
      <w:pPr>
        <w:spacing w:after="0"/>
        <w:ind w:left="0"/>
        <w:jc w:val="both"/>
      </w:pPr>
      <w:r>
        <w:rPr>
          <w:rFonts w:ascii="Times New Roman"/>
          <w:b w:val="false"/>
          <w:i w:val="false"/>
          <w:color w:val="000000"/>
          <w:sz w:val="28"/>
        </w:rPr>
        <w:t>
      наличие более 4 (четырех) лет опыта разработки и проверки моделей в финансовых услугах;</w:t>
      </w:r>
    </w:p>
    <w:bookmarkEnd w:id="292"/>
    <w:bookmarkStart w:name="z311" w:id="293"/>
    <w:p>
      <w:pPr>
        <w:spacing w:after="0"/>
        <w:ind w:left="0"/>
        <w:jc w:val="both"/>
      </w:pPr>
      <w:r>
        <w:rPr>
          <w:rFonts w:ascii="Times New Roman"/>
          <w:b w:val="false"/>
          <w:i w:val="false"/>
          <w:color w:val="000000"/>
          <w:sz w:val="28"/>
        </w:rPr>
        <w:t>
      наличие более 4 (четырех) лет практического опыта работы с инструментами обработки и анализа данных и статистическими инструментами;</w:t>
      </w:r>
    </w:p>
    <w:bookmarkEnd w:id="293"/>
    <w:bookmarkStart w:name="z312" w:id="294"/>
    <w:p>
      <w:pPr>
        <w:spacing w:after="0"/>
        <w:ind w:left="0"/>
        <w:jc w:val="both"/>
      </w:pPr>
      <w:r>
        <w:rPr>
          <w:rFonts w:ascii="Times New Roman"/>
          <w:b w:val="false"/>
          <w:i w:val="false"/>
          <w:color w:val="000000"/>
          <w:sz w:val="28"/>
        </w:rPr>
        <w:t>
      наличие более 4 (четырех) лет опыта работы в сфере статистического анализа, обработки больших объемов данных и анализа тенденций.</w:t>
      </w:r>
    </w:p>
    <w:bookmarkEnd w:id="294"/>
    <w:bookmarkStart w:name="z313" w:id="295"/>
    <w:p>
      <w:pPr>
        <w:spacing w:after="0"/>
        <w:ind w:left="0"/>
        <w:jc w:val="both"/>
      </w:pPr>
      <w:r>
        <w:rPr>
          <w:rFonts w:ascii="Times New Roman"/>
          <w:b w:val="false"/>
          <w:i w:val="false"/>
          <w:color w:val="000000"/>
          <w:sz w:val="28"/>
        </w:rPr>
        <w:t>
      Результаты валидации с подробным обоснованием предоставляются органу управления финансовой организации или банка-нерезидента Республики Казахстан (для филиала банка-нерезидента Республики Казахстан).".</w:t>
      </w:r>
    </w:p>
    <w:bookmarkEnd w:id="295"/>
    <w:bookmarkStart w:name="z314" w:id="296"/>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 филиалов банков-нерезидентов Республики Казахстан" (зарегистрировано в Реестре государственной регистрации нормативных правовых актов под № 19632) следующие изменения:</w:t>
      </w:r>
    </w:p>
    <w:bookmarkEnd w:id="296"/>
    <w:bookmarkStart w:name="z315" w:id="2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банков второго уровня, филиалов банков-нерезидентов Республики Казахстан, утвержденных указанным постановлением:</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317" w:id="298"/>
    <w:p>
      <w:pPr>
        <w:spacing w:after="0"/>
        <w:ind w:left="0"/>
        <w:jc w:val="both"/>
      </w:pPr>
      <w:r>
        <w:rPr>
          <w:rFonts w:ascii="Times New Roman"/>
          <w:b w:val="false"/>
          <w:i w:val="false"/>
          <w:color w:val="000000"/>
          <w:sz w:val="28"/>
        </w:rPr>
        <w:t>
      "30. Комитет по вопросам кадров и вознаграждения несет ответственность за обеспечение разработки:</w:t>
      </w:r>
    </w:p>
    <w:bookmarkEnd w:id="298"/>
    <w:bookmarkStart w:name="z318" w:id="299"/>
    <w:p>
      <w:pPr>
        <w:spacing w:after="0"/>
        <w:ind w:left="0"/>
        <w:jc w:val="both"/>
      </w:pPr>
      <w:r>
        <w:rPr>
          <w:rFonts w:ascii="Times New Roman"/>
          <w:b w:val="false"/>
          <w:i w:val="false"/>
          <w:color w:val="000000"/>
          <w:sz w:val="28"/>
        </w:rPr>
        <w:t>
      1) с учетом минимизации конфликта интересов, проекта организационной структуры банка для дальнейшего утверждения советом директоров банка;</w:t>
      </w:r>
    </w:p>
    <w:bookmarkEnd w:id="299"/>
    <w:bookmarkStart w:name="z319" w:id="300"/>
    <w:p>
      <w:pPr>
        <w:spacing w:after="0"/>
        <w:ind w:left="0"/>
        <w:jc w:val="both"/>
      </w:pPr>
      <w:r>
        <w:rPr>
          <w:rFonts w:ascii="Times New Roman"/>
          <w:b w:val="false"/>
          <w:i w:val="false"/>
          <w:color w:val="000000"/>
          <w:sz w:val="28"/>
        </w:rPr>
        <w:t>
      2) процедуры по управлению конфликтом интересов и механизмов ее реализации для дальнейшего утверждения соответствующим органом банка;</w:t>
      </w:r>
    </w:p>
    <w:bookmarkEnd w:id="300"/>
    <w:bookmarkStart w:name="z320" w:id="301"/>
    <w:p>
      <w:pPr>
        <w:spacing w:after="0"/>
        <w:ind w:left="0"/>
        <w:jc w:val="both"/>
      </w:pPr>
      <w:r>
        <w:rPr>
          <w:rFonts w:ascii="Times New Roman"/>
          <w:b w:val="false"/>
          <w:i w:val="false"/>
          <w:color w:val="000000"/>
          <w:sz w:val="28"/>
        </w:rPr>
        <w:t xml:space="preserve">
      3) политики по оплате труда, начислению денежных вознаграждений, а также иных видов материального поощрения руководящих работников банка для дальнейшего вынесения на утверждение совета директоров банка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февраля 2012 года № 74 "Об установлении Требований к внутренней политике по оплате труда, начислению денежных вознаграждений, а также других видов материального поощрения руководящих работников банка, страховой (перестраховочной) организации, страхового брокера,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зарегистрированным в Реестре государственной регистрации нормативных правовых актов под № 7525.</w:t>
      </w:r>
    </w:p>
    <w:bookmarkEnd w:id="301"/>
    <w:bookmarkStart w:name="z321" w:id="302"/>
    <w:p>
      <w:pPr>
        <w:spacing w:after="0"/>
        <w:ind w:left="0"/>
        <w:jc w:val="both"/>
      </w:pPr>
      <w:r>
        <w:rPr>
          <w:rFonts w:ascii="Times New Roman"/>
          <w:b w:val="false"/>
          <w:i w:val="false"/>
          <w:color w:val="000000"/>
          <w:sz w:val="28"/>
        </w:rPr>
        <w:t>
      Размер вознаграждения напрямую зависит от соотношения риска к результату. Способы выплаты вознаграждений в счет будущих доходов, срок и вероятность получения которых являются неопределенными, тщательно взвешиваются на основании принятых качественных и количественных показателей. Система вознаграждений предусматривает возможность изменения размера нефиксированного вознаграждения с учетом всех рисков, включая нарушения лимитов риск-аппетита, внутренних процедур или требований уполномоченного органа.";</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323" w:id="303"/>
    <w:p>
      <w:pPr>
        <w:spacing w:after="0"/>
        <w:ind w:left="0"/>
        <w:jc w:val="both"/>
      </w:pPr>
      <w:r>
        <w:rPr>
          <w:rFonts w:ascii="Times New Roman"/>
          <w:b w:val="false"/>
          <w:i w:val="false"/>
          <w:color w:val="000000"/>
          <w:sz w:val="28"/>
        </w:rPr>
        <w:t>
      "33. Правление банка осуществляет руководство текущей деятельностью банка в соответствии с выбранной бизнес-моделью, масштабом деятельности, видами и сложностью операций, риск-профилем, и внутренними документами, утвержденными советом директоров банка. Правление банка отвечает за:</w:t>
      </w:r>
    </w:p>
    <w:bookmarkEnd w:id="303"/>
    <w:bookmarkStart w:name="z324" w:id="304"/>
    <w:p>
      <w:pPr>
        <w:spacing w:after="0"/>
        <w:ind w:left="0"/>
        <w:jc w:val="both"/>
      </w:pPr>
      <w:r>
        <w:rPr>
          <w:rFonts w:ascii="Times New Roman"/>
          <w:b w:val="false"/>
          <w:i w:val="false"/>
          <w:color w:val="000000"/>
          <w:sz w:val="28"/>
        </w:rPr>
        <w:t>
      1) обеспечение исполнения стратегии банка, соблюдение утвержденных советом директоров банка процедур, процессов и политик;</w:t>
      </w:r>
    </w:p>
    <w:bookmarkEnd w:id="304"/>
    <w:bookmarkStart w:name="z325" w:id="305"/>
    <w:p>
      <w:pPr>
        <w:spacing w:after="0"/>
        <w:ind w:left="0"/>
        <w:jc w:val="both"/>
      </w:pPr>
      <w:r>
        <w:rPr>
          <w:rFonts w:ascii="Times New Roman"/>
          <w:b w:val="false"/>
          <w:i w:val="false"/>
          <w:color w:val="000000"/>
          <w:sz w:val="28"/>
        </w:rPr>
        <w:t>
      2) разработку проекта стратегии банка для дальнейшего вынесения на утверждение совета директоров банка, а также за осуществление мониторинга исполнения стратегии и оценку соответствия стратегии банка текущей рыночной и экономической ситуации, риск-профилю и финансовому потенциалу, а также требованиям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w:t>
      </w:r>
    </w:p>
    <w:bookmarkEnd w:id="305"/>
    <w:bookmarkStart w:name="z326" w:id="306"/>
    <w:p>
      <w:pPr>
        <w:spacing w:after="0"/>
        <w:ind w:left="0"/>
        <w:jc w:val="both"/>
      </w:pPr>
      <w:r>
        <w:rPr>
          <w:rFonts w:ascii="Times New Roman"/>
          <w:b w:val="false"/>
          <w:i w:val="false"/>
          <w:color w:val="000000"/>
          <w:sz w:val="28"/>
        </w:rPr>
        <w:t>
      3) разработку проекта бюджета банка на соответствующий год для дальнейшего вынесения на утверждение совета директоров банка;</w:t>
      </w:r>
    </w:p>
    <w:bookmarkEnd w:id="306"/>
    <w:bookmarkStart w:name="z327" w:id="307"/>
    <w:p>
      <w:pPr>
        <w:spacing w:after="0"/>
        <w:ind w:left="0"/>
        <w:jc w:val="both"/>
      </w:pPr>
      <w:r>
        <w:rPr>
          <w:rFonts w:ascii="Times New Roman"/>
          <w:b w:val="false"/>
          <w:i w:val="false"/>
          <w:color w:val="000000"/>
          <w:sz w:val="28"/>
        </w:rPr>
        <w:t>
      4) разработку проекта политики управления рентабельностью банка для дальнейшего вынесения на утверждение совета директоров банка, а также за осуществление мониторинга соблюдения банком и его работниками указанной политики;</w:t>
      </w:r>
    </w:p>
    <w:bookmarkEnd w:id="307"/>
    <w:bookmarkStart w:name="z328" w:id="308"/>
    <w:p>
      <w:pPr>
        <w:spacing w:after="0"/>
        <w:ind w:left="0"/>
        <w:jc w:val="both"/>
      </w:pPr>
      <w:r>
        <w:rPr>
          <w:rFonts w:ascii="Times New Roman"/>
          <w:b w:val="false"/>
          <w:i w:val="false"/>
          <w:color w:val="000000"/>
          <w:sz w:val="28"/>
        </w:rPr>
        <w:t>
      5) разработку внутреннего порядка, определяющего доведение стратегии, политик и иных внутренних документов банка в течение 10 (десяти) рабочих дней со дня утверждения и (или) внесения в них изменений и дополнений до работников банка по закрепленным за ним участкам деятельности, и за осуществление мониторинга соблюдения банком и его работниками требований Правил;</w:t>
      </w:r>
    </w:p>
    <w:bookmarkEnd w:id="308"/>
    <w:bookmarkStart w:name="z329" w:id="309"/>
    <w:p>
      <w:pPr>
        <w:spacing w:after="0"/>
        <w:ind w:left="0"/>
        <w:jc w:val="both"/>
      </w:pPr>
      <w:r>
        <w:rPr>
          <w:rFonts w:ascii="Times New Roman"/>
          <w:b w:val="false"/>
          <w:i w:val="false"/>
          <w:color w:val="000000"/>
          <w:sz w:val="28"/>
        </w:rPr>
        <w:t>
      6) разработку кадровой политики банка для дальнейшего утверждения советом директоров банка, а также за осуществление мониторинга ее соответствия стратегии, организационной структуре, риск-профилю банка, достигнутым результатам и требованиям трудового, банковского законодательства Республики Казахстан, законодательства Республики Казахстан об акционерных обществах. Кадровая политика устанавливает стандарты, условия и механизмы, обеспечивающие вовлечение в банковскую деятельность компетентных руководящих работников и обеспечивает:</w:t>
      </w:r>
    </w:p>
    <w:bookmarkEnd w:id="309"/>
    <w:bookmarkStart w:name="z330" w:id="310"/>
    <w:p>
      <w:pPr>
        <w:spacing w:after="0"/>
        <w:ind w:left="0"/>
        <w:jc w:val="both"/>
      </w:pPr>
      <w:r>
        <w:rPr>
          <w:rFonts w:ascii="Times New Roman"/>
          <w:b w:val="false"/>
          <w:i w:val="false"/>
          <w:color w:val="000000"/>
          <w:sz w:val="28"/>
        </w:rPr>
        <w:t>
      наличие персонала, обладающего необходимым опытом, квалификацией и безупречной деловой репутацией, способного управлять процессами и рисками, связанными с деятельностью банка;</w:t>
      </w:r>
    </w:p>
    <w:bookmarkEnd w:id="310"/>
    <w:bookmarkStart w:name="z331" w:id="311"/>
    <w:p>
      <w:pPr>
        <w:spacing w:after="0"/>
        <w:ind w:left="0"/>
        <w:jc w:val="both"/>
      </w:pPr>
      <w:r>
        <w:rPr>
          <w:rFonts w:ascii="Times New Roman"/>
          <w:b w:val="false"/>
          <w:i w:val="false"/>
          <w:color w:val="000000"/>
          <w:sz w:val="28"/>
        </w:rPr>
        <w:t>
      поддержание достаточного количества ресурсов для эффективного осуществления функций и обязанностей;</w:t>
      </w:r>
    </w:p>
    <w:bookmarkEnd w:id="311"/>
    <w:bookmarkStart w:name="z332" w:id="312"/>
    <w:p>
      <w:pPr>
        <w:spacing w:after="0"/>
        <w:ind w:left="0"/>
        <w:jc w:val="both"/>
      </w:pPr>
      <w:r>
        <w:rPr>
          <w:rFonts w:ascii="Times New Roman"/>
          <w:b w:val="false"/>
          <w:i w:val="false"/>
          <w:color w:val="000000"/>
          <w:sz w:val="28"/>
        </w:rPr>
        <w:t>
      минимизацию конфликта интересов в ходе выполнения своих обязанностей;</w:t>
      </w:r>
    </w:p>
    <w:bookmarkEnd w:id="312"/>
    <w:bookmarkStart w:name="z333" w:id="313"/>
    <w:p>
      <w:pPr>
        <w:spacing w:after="0"/>
        <w:ind w:left="0"/>
        <w:jc w:val="both"/>
      </w:pPr>
      <w:r>
        <w:rPr>
          <w:rFonts w:ascii="Times New Roman"/>
          <w:b w:val="false"/>
          <w:i w:val="false"/>
          <w:color w:val="000000"/>
          <w:sz w:val="28"/>
        </w:rPr>
        <w:t>
      минимизацию риска концентрации полномочий на одном работнике;</w:t>
      </w:r>
    </w:p>
    <w:bookmarkEnd w:id="313"/>
    <w:bookmarkStart w:name="z334" w:id="314"/>
    <w:p>
      <w:pPr>
        <w:spacing w:after="0"/>
        <w:ind w:left="0"/>
        <w:jc w:val="both"/>
      </w:pPr>
      <w:r>
        <w:rPr>
          <w:rFonts w:ascii="Times New Roman"/>
          <w:b w:val="false"/>
          <w:i w:val="false"/>
          <w:color w:val="000000"/>
          <w:sz w:val="28"/>
        </w:rPr>
        <w:t>
      внутренний порядок оплаты труда работников, включая порядок выплаты вознаграждений, а также других видов материального поощрения;</w:t>
      </w:r>
    </w:p>
    <w:bookmarkEnd w:id="314"/>
    <w:bookmarkStart w:name="z335" w:id="315"/>
    <w:p>
      <w:pPr>
        <w:spacing w:after="0"/>
        <w:ind w:left="0"/>
        <w:jc w:val="both"/>
      </w:pPr>
      <w:r>
        <w:rPr>
          <w:rFonts w:ascii="Times New Roman"/>
          <w:b w:val="false"/>
          <w:i w:val="false"/>
          <w:color w:val="000000"/>
          <w:sz w:val="28"/>
        </w:rPr>
        <w:t>
      проведение оценки эффективности работы работников банка;</w:t>
      </w:r>
    </w:p>
    <w:bookmarkEnd w:id="315"/>
    <w:bookmarkStart w:name="z336" w:id="316"/>
    <w:p>
      <w:pPr>
        <w:spacing w:after="0"/>
        <w:ind w:left="0"/>
        <w:jc w:val="both"/>
      </w:pPr>
      <w:r>
        <w:rPr>
          <w:rFonts w:ascii="Times New Roman"/>
          <w:b w:val="false"/>
          <w:i w:val="false"/>
          <w:color w:val="000000"/>
          <w:sz w:val="28"/>
        </w:rPr>
        <w:t>
      7) разработку тарифной политики для дальнейшего вынесения на утверждение совета директоров, а также за осуществление мониторинга соблюдения банком и его работниками тарифной политики;</w:t>
      </w:r>
    </w:p>
    <w:bookmarkEnd w:id="316"/>
    <w:bookmarkStart w:name="z337" w:id="317"/>
    <w:p>
      <w:pPr>
        <w:spacing w:after="0"/>
        <w:ind w:left="0"/>
        <w:jc w:val="both"/>
      </w:pPr>
      <w:r>
        <w:rPr>
          <w:rFonts w:ascii="Times New Roman"/>
          <w:b w:val="false"/>
          <w:i w:val="false"/>
          <w:color w:val="000000"/>
          <w:sz w:val="28"/>
        </w:rPr>
        <w:t>
      8) разработку кредитной политики банка для дальнейшего вынесения на рассмотрение комитета по управлению рисками и на утверждение совета директоров банка;</w:t>
      </w:r>
    </w:p>
    <w:bookmarkEnd w:id="317"/>
    <w:bookmarkStart w:name="z338" w:id="318"/>
    <w:p>
      <w:pPr>
        <w:spacing w:after="0"/>
        <w:ind w:left="0"/>
        <w:jc w:val="both"/>
      </w:pPr>
      <w:r>
        <w:rPr>
          <w:rFonts w:ascii="Times New Roman"/>
          <w:b w:val="false"/>
          <w:i w:val="false"/>
          <w:color w:val="000000"/>
          <w:sz w:val="28"/>
        </w:rPr>
        <w:t>
      9) утверждение плана (планов) по обеспечению непрерывности и (или) восстановлению деятельности;</w:t>
      </w:r>
    </w:p>
    <w:bookmarkEnd w:id="318"/>
    <w:bookmarkStart w:name="z339" w:id="319"/>
    <w:p>
      <w:pPr>
        <w:spacing w:after="0"/>
        <w:ind w:left="0"/>
        <w:jc w:val="both"/>
      </w:pPr>
      <w:r>
        <w:rPr>
          <w:rFonts w:ascii="Times New Roman"/>
          <w:b w:val="false"/>
          <w:i w:val="false"/>
          <w:color w:val="000000"/>
          <w:sz w:val="28"/>
        </w:rPr>
        <w:t>
      10) предоставление совету директоров банка необходимой информации для контроля и оценки качества работы правления в соответствии с установленными внутренними документами банка и Правилами, которая включает:</w:t>
      </w:r>
    </w:p>
    <w:bookmarkEnd w:id="319"/>
    <w:bookmarkStart w:name="z340" w:id="320"/>
    <w:p>
      <w:pPr>
        <w:spacing w:after="0"/>
        <w:ind w:left="0"/>
        <w:jc w:val="both"/>
      </w:pPr>
      <w:r>
        <w:rPr>
          <w:rFonts w:ascii="Times New Roman"/>
          <w:b w:val="false"/>
          <w:i w:val="false"/>
          <w:color w:val="000000"/>
          <w:sz w:val="28"/>
        </w:rPr>
        <w:t>
      достижение правлением банка целей, установленных в стратегии банка с указанием, при наличии, причин, препятствующих их достижению;</w:t>
      </w:r>
    </w:p>
    <w:bookmarkEnd w:id="320"/>
    <w:bookmarkStart w:name="z341" w:id="321"/>
    <w:p>
      <w:pPr>
        <w:spacing w:after="0"/>
        <w:ind w:left="0"/>
        <w:jc w:val="both"/>
      </w:pPr>
      <w:r>
        <w:rPr>
          <w:rFonts w:ascii="Times New Roman"/>
          <w:b w:val="false"/>
          <w:i w:val="false"/>
          <w:color w:val="000000"/>
          <w:sz w:val="28"/>
        </w:rPr>
        <w:t>
      соответствие деятельности банка стратегии и политикам, утвержденным советом директоров банка;</w:t>
      </w:r>
    </w:p>
    <w:bookmarkEnd w:id="321"/>
    <w:bookmarkStart w:name="z342" w:id="322"/>
    <w:p>
      <w:pPr>
        <w:spacing w:after="0"/>
        <w:ind w:left="0"/>
        <w:jc w:val="both"/>
      </w:pPr>
      <w:r>
        <w:rPr>
          <w:rFonts w:ascii="Times New Roman"/>
          <w:b w:val="false"/>
          <w:i w:val="false"/>
          <w:color w:val="000000"/>
          <w:sz w:val="28"/>
        </w:rPr>
        <w:t>
      результаты деятельности банка и его финансовое положение, в том числе информацию об устойчивости (волатильности) доходности банка;</w:t>
      </w:r>
    </w:p>
    <w:bookmarkEnd w:id="322"/>
    <w:bookmarkStart w:name="z343" w:id="323"/>
    <w:p>
      <w:pPr>
        <w:spacing w:after="0"/>
        <w:ind w:left="0"/>
        <w:jc w:val="both"/>
      </w:pPr>
      <w:r>
        <w:rPr>
          <w:rFonts w:ascii="Times New Roman"/>
          <w:b w:val="false"/>
          <w:i w:val="false"/>
          <w:color w:val="000000"/>
          <w:sz w:val="28"/>
        </w:rPr>
        <w:t>
      несоответствие принимаемых решений банка утвержденным советом директоров банка процедурам, процессам и политикам;</w:t>
      </w:r>
    </w:p>
    <w:bookmarkEnd w:id="323"/>
    <w:bookmarkStart w:name="z344" w:id="324"/>
    <w:p>
      <w:pPr>
        <w:spacing w:after="0"/>
        <w:ind w:left="0"/>
        <w:jc w:val="both"/>
      </w:pPr>
      <w:r>
        <w:rPr>
          <w:rFonts w:ascii="Times New Roman"/>
          <w:b w:val="false"/>
          <w:i w:val="false"/>
          <w:color w:val="000000"/>
          <w:sz w:val="28"/>
        </w:rPr>
        <w:t>
      превышение утвержденных уровней риск-аппетита и причин их нарушения;</w:t>
      </w:r>
    </w:p>
    <w:bookmarkEnd w:id="324"/>
    <w:bookmarkStart w:name="z345" w:id="325"/>
    <w:p>
      <w:pPr>
        <w:spacing w:after="0"/>
        <w:ind w:left="0"/>
        <w:jc w:val="both"/>
      </w:pPr>
      <w:r>
        <w:rPr>
          <w:rFonts w:ascii="Times New Roman"/>
          <w:b w:val="false"/>
          <w:i w:val="false"/>
          <w:color w:val="000000"/>
          <w:sz w:val="28"/>
        </w:rPr>
        <w:t>
      информацию о своевременности, полноте и качестве устранения правлением банка нарушений и недостатков, выявленных подразделениями по комплаенс-контролю, управлению рисками, внутреннего контроля, внутреннего аудита, и внешним аудитом и уполномоченным органом, а также выполнения их рекомендаций;</w:t>
      </w:r>
    </w:p>
    <w:bookmarkEnd w:id="325"/>
    <w:bookmarkStart w:name="z346" w:id="326"/>
    <w:p>
      <w:pPr>
        <w:spacing w:after="0"/>
        <w:ind w:left="0"/>
        <w:jc w:val="both"/>
      </w:pPr>
      <w:r>
        <w:rPr>
          <w:rFonts w:ascii="Times New Roman"/>
          <w:b w:val="false"/>
          <w:i w:val="false"/>
          <w:color w:val="000000"/>
          <w:sz w:val="28"/>
        </w:rPr>
        <w:t>
      информацию о состоянии внутреннего контроля, в части своевременного выявления некорректных, неполных или несанкционированных операций, недостатков в деятельности по обеспечению сохранности активов, ошибок при формировании финансовой и регуляторной отчетности, нарушениях внутренних документов банка,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также исключения конфликтов интересов и внутренних злоупотреблений и мошенничества, в том числе в отношении лиц, связанных с банком особыми отношениями;</w:t>
      </w:r>
    </w:p>
    <w:bookmarkEnd w:id="326"/>
    <w:bookmarkStart w:name="z347" w:id="327"/>
    <w:p>
      <w:pPr>
        <w:spacing w:after="0"/>
        <w:ind w:left="0"/>
        <w:jc w:val="both"/>
      </w:pPr>
      <w:r>
        <w:rPr>
          <w:rFonts w:ascii="Times New Roman"/>
          <w:b w:val="false"/>
          <w:i w:val="false"/>
          <w:color w:val="000000"/>
          <w:sz w:val="28"/>
        </w:rPr>
        <w:t>
      11) разработку внутреннего порядка рассмотрения обращений клиентов, возникающих в процессе предоставления банковских услуг, а также за осуществление мониторинга соблюдения банком требований, указанных в настоящем подпункте. Внутренний порядок рассмотрения обращений клиентов учитывает требования банковского законодательства Республики Казахстан и определяет:</w:t>
      </w:r>
    </w:p>
    <w:bookmarkEnd w:id="327"/>
    <w:bookmarkStart w:name="z348" w:id="328"/>
    <w:p>
      <w:pPr>
        <w:spacing w:after="0"/>
        <w:ind w:left="0"/>
        <w:jc w:val="both"/>
      </w:pPr>
      <w:r>
        <w:rPr>
          <w:rFonts w:ascii="Times New Roman"/>
          <w:b w:val="false"/>
          <w:i w:val="false"/>
          <w:color w:val="000000"/>
          <w:sz w:val="28"/>
        </w:rPr>
        <w:t>
      процедуры ведения делопроизводства по жалобам (заявлениям) клиентов, включая прием, первоначальную обработку, регистрацию обращений, поступающих в банк, и ответов на обращения клиентов;</w:t>
      </w:r>
    </w:p>
    <w:bookmarkEnd w:id="328"/>
    <w:bookmarkStart w:name="z349" w:id="329"/>
    <w:p>
      <w:pPr>
        <w:spacing w:after="0"/>
        <w:ind w:left="0"/>
        <w:jc w:val="both"/>
      </w:pPr>
      <w:r>
        <w:rPr>
          <w:rFonts w:ascii="Times New Roman"/>
          <w:b w:val="false"/>
          <w:i w:val="false"/>
          <w:color w:val="000000"/>
          <w:sz w:val="28"/>
        </w:rPr>
        <w:t>
      структурное подразделение банка, ответственное за ведение делопроизводства по обращениям клиентов;</w:t>
      </w:r>
    </w:p>
    <w:bookmarkEnd w:id="329"/>
    <w:bookmarkStart w:name="z350" w:id="330"/>
    <w:p>
      <w:pPr>
        <w:spacing w:after="0"/>
        <w:ind w:left="0"/>
        <w:jc w:val="both"/>
      </w:pPr>
      <w:r>
        <w:rPr>
          <w:rFonts w:ascii="Times New Roman"/>
          <w:b w:val="false"/>
          <w:i w:val="false"/>
          <w:color w:val="000000"/>
          <w:sz w:val="28"/>
        </w:rPr>
        <w:t>
      процедуры доведения (передачи) поступивших обращений до ответственных структурных подразделений или работников, которым будет поручено осуществить обработку и подготовку ответа на обращение клиента;</w:t>
      </w:r>
    </w:p>
    <w:bookmarkEnd w:id="330"/>
    <w:bookmarkStart w:name="z351" w:id="331"/>
    <w:p>
      <w:pPr>
        <w:spacing w:after="0"/>
        <w:ind w:left="0"/>
        <w:jc w:val="both"/>
      </w:pPr>
      <w:r>
        <w:rPr>
          <w:rFonts w:ascii="Times New Roman"/>
          <w:b w:val="false"/>
          <w:i w:val="false"/>
          <w:color w:val="000000"/>
          <w:sz w:val="28"/>
        </w:rPr>
        <w:t>
      сроки своевременной обработки обращений клиентов и подготовки ответов на обращения клиентов;</w:t>
      </w:r>
    </w:p>
    <w:bookmarkEnd w:id="331"/>
    <w:bookmarkStart w:name="z352" w:id="332"/>
    <w:p>
      <w:pPr>
        <w:spacing w:after="0"/>
        <w:ind w:left="0"/>
        <w:jc w:val="both"/>
      </w:pPr>
      <w:r>
        <w:rPr>
          <w:rFonts w:ascii="Times New Roman"/>
          <w:b w:val="false"/>
          <w:i w:val="false"/>
          <w:color w:val="000000"/>
          <w:sz w:val="28"/>
        </w:rPr>
        <w:t>
      внутренний порядок взаимодействия структурных подразделений банка при рассмотрении обращений клиентов и подготовке ответов на обращения клиентов;</w:t>
      </w:r>
    </w:p>
    <w:bookmarkEnd w:id="332"/>
    <w:bookmarkStart w:name="z353" w:id="333"/>
    <w:p>
      <w:pPr>
        <w:spacing w:after="0"/>
        <w:ind w:left="0"/>
        <w:jc w:val="both"/>
      </w:pPr>
      <w:r>
        <w:rPr>
          <w:rFonts w:ascii="Times New Roman"/>
          <w:b w:val="false"/>
          <w:i w:val="false"/>
          <w:color w:val="000000"/>
          <w:sz w:val="28"/>
        </w:rPr>
        <w:t>
      внутренний порядок и процедуры ведения классификатора поступивших обращений клиентов банка;</w:t>
      </w:r>
    </w:p>
    <w:bookmarkEnd w:id="333"/>
    <w:bookmarkStart w:name="z354" w:id="334"/>
    <w:p>
      <w:pPr>
        <w:spacing w:after="0"/>
        <w:ind w:left="0"/>
        <w:jc w:val="both"/>
      </w:pPr>
      <w:r>
        <w:rPr>
          <w:rFonts w:ascii="Times New Roman"/>
          <w:b w:val="false"/>
          <w:i w:val="false"/>
          <w:color w:val="000000"/>
          <w:sz w:val="28"/>
        </w:rPr>
        <w:t>
      12) разработку процедуры и (или) внутреннего порядка отказа от проведения высокорисковых операций, включая операции с величинами, создаваемыми и учитываемыми в децентрализованной информационной системе с применением средств криптографии и (или) компьютерных вычислений, не являющимися в соответствии с гражданским законодательством Республики Казахстан финансовыми инструментами или финансовыми активами и не содержащими право требования к кому-либо, а также расторжения деловых отношений с клиентом с учетом присущих факторов риска.</w:t>
      </w:r>
    </w:p>
    <w:bookmarkEnd w:id="334"/>
    <w:bookmarkStart w:name="z355" w:id="335"/>
    <w:p>
      <w:pPr>
        <w:spacing w:after="0"/>
        <w:ind w:left="0"/>
        <w:jc w:val="both"/>
      </w:pPr>
      <w:r>
        <w:rPr>
          <w:rFonts w:ascii="Times New Roman"/>
          <w:b w:val="false"/>
          <w:i w:val="false"/>
          <w:color w:val="000000"/>
          <w:sz w:val="28"/>
        </w:rPr>
        <w:t>
      Соответствующий исполнительный орган банка-нерезидента Республики Казахстан отвечает за:</w:t>
      </w:r>
    </w:p>
    <w:bookmarkEnd w:id="335"/>
    <w:bookmarkStart w:name="z356" w:id="336"/>
    <w:p>
      <w:pPr>
        <w:spacing w:after="0"/>
        <w:ind w:left="0"/>
        <w:jc w:val="both"/>
      </w:pPr>
      <w:r>
        <w:rPr>
          <w:rFonts w:ascii="Times New Roman"/>
          <w:b w:val="false"/>
          <w:i w:val="false"/>
          <w:color w:val="000000"/>
          <w:sz w:val="28"/>
        </w:rPr>
        <w:t>
      1) разработку проекта стратегии филиала банка-нерезидента Республики Казахстан для дальнейшего вынесения на утверждение соответствующего органа управления банка-нерезидента Республики Казахстан;</w:t>
      </w:r>
    </w:p>
    <w:bookmarkEnd w:id="336"/>
    <w:bookmarkStart w:name="z357" w:id="337"/>
    <w:p>
      <w:pPr>
        <w:spacing w:after="0"/>
        <w:ind w:left="0"/>
        <w:jc w:val="both"/>
      </w:pPr>
      <w:r>
        <w:rPr>
          <w:rFonts w:ascii="Times New Roman"/>
          <w:b w:val="false"/>
          <w:i w:val="false"/>
          <w:color w:val="000000"/>
          <w:sz w:val="28"/>
        </w:rPr>
        <w:t>
      2) разработку проекта бюджета филиала банка-нерезидента Республики Казахстан на соответствующий год для дальнейшего вынесения на утверждение соответствующего органа управления банка-нерезидента Республики Казахстан;</w:t>
      </w:r>
    </w:p>
    <w:bookmarkEnd w:id="337"/>
    <w:bookmarkStart w:name="z358" w:id="338"/>
    <w:p>
      <w:pPr>
        <w:spacing w:after="0"/>
        <w:ind w:left="0"/>
        <w:jc w:val="both"/>
      </w:pPr>
      <w:r>
        <w:rPr>
          <w:rFonts w:ascii="Times New Roman"/>
          <w:b w:val="false"/>
          <w:i w:val="false"/>
          <w:color w:val="000000"/>
          <w:sz w:val="28"/>
        </w:rPr>
        <w:t>
      3) разработку проекта политики управления рентабельностью филиала банка-нерезидента Республики Казахстан для дальнейшего вынесения на утверждение соответствующего органа управления банка-нерезидента Республики Казахстан;</w:t>
      </w:r>
    </w:p>
    <w:bookmarkEnd w:id="338"/>
    <w:bookmarkStart w:name="z359" w:id="339"/>
    <w:p>
      <w:pPr>
        <w:spacing w:after="0"/>
        <w:ind w:left="0"/>
        <w:jc w:val="both"/>
      </w:pPr>
      <w:r>
        <w:rPr>
          <w:rFonts w:ascii="Times New Roman"/>
          <w:b w:val="false"/>
          <w:i w:val="false"/>
          <w:color w:val="000000"/>
          <w:sz w:val="28"/>
        </w:rPr>
        <w:t>
      4) разработку внутреннего порядка, определяющего доведение стратегии, политик и иных внутренних документов банка-нерезидента Республики Казахстан в течение 10 (десяти) рабочих дней со дня утверждения и (или) внесения в них изменений и дополнений до работников филиала банка-нерезидента Республики Казахстан по закрепленным за ним участкам деятельности;</w:t>
      </w:r>
    </w:p>
    <w:bookmarkEnd w:id="339"/>
    <w:bookmarkStart w:name="z360" w:id="340"/>
    <w:p>
      <w:pPr>
        <w:spacing w:after="0"/>
        <w:ind w:left="0"/>
        <w:jc w:val="both"/>
      </w:pPr>
      <w:r>
        <w:rPr>
          <w:rFonts w:ascii="Times New Roman"/>
          <w:b w:val="false"/>
          <w:i w:val="false"/>
          <w:color w:val="000000"/>
          <w:sz w:val="28"/>
        </w:rPr>
        <w:t>
      5) разработку кадровой политики филиала банка-нерезидента Республики Казахстан для дальнейшего утверждения соответствующего органа управления банка-нерезидента Республики Казахстан. Кадровая политика устанавливает стандарты, условия и механизмы, обеспечивающие вовлечение в банковскую деятельность компетентных руководящих работников и обеспечивает:</w:t>
      </w:r>
    </w:p>
    <w:bookmarkEnd w:id="340"/>
    <w:bookmarkStart w:name="z361" w:id="341"/>
    <w:p>
      <w:pPr>
        <w:spacing w:after="0"/>
        <w:ind w:left="0"/>
        <w:jc w:val="both"/>
      </w:pPr>
      <w:r>
        <w:rPr>
          <w:rFonts w:ascii="Times New Roman"/>
          <w:b w:val="false"/>
          <w:i w:val="false"/>
          <w:color w:val="000000"/>
          <w:sz w:val="28"/>
        </w:rPr>
        <w:t>
      наличие персонала, обладающего необходимым опытом, квалификацией и безупречной деловой репутацией, способного управлять процессами и рисками, связанными с деятельностью филиала банка-нерезидента Республики Казахстан;</w:t>
      </w:r>
    </w:p>
    <w:bookmarkEnd w:id="341"/>
    <w:bookmarkStart w:name="z362" w:id="342"/>
    <w:p>
      <w:pPr>
        <w:spacing w:after="0"/>
        <w:ind w:left="0"/>
        <w:jc w:val="both"/>
      </w:pPr>
      <w:r>
        <w:rPr>
          <w:rFonts w:ascii="Times New Roman"/>
          <w:b w:val="false"/>
          <w:i w:val="false"/>
          <w:color w:val="000000"/>
          <w:sz w:val="28"/>
        </w:rPr>
        <w:t>
      поддержание достаточного количества ресурсов для эффективного осуществления функций и обязанностей;</w:t>
      </w:r>
    </w:p>
    <w:bookmarkEnd w:id="342"/>
    <w:bookmarkStart w:name="z363" w:id="343"/>
    <w:p>
      <w:pPr>
        <w:spacing w:after="0"/>
        <w:ind w:left="0"/>
        <w:jc w:val="both"/>
      </w:pPr>
      <w:r>
        <w:rPr>
          <w:rFonts w:ascii="Times New Roman"/>
          <w:b w:val="false"/>
          <w:i w:val="false"/>
          <w:color w:val="000000"/>
          <w:sz w:val="28"/>
        </w:rPr>
        <w:t>
      минимизацию конфликта интересов в ходе выполнения своих обязанностей;</w:t>
      </w:r>
    </w:p>
    <w:bookmarkEnd w:id="343"/>
    <w:bookmarkStart w:name="z364" w:id="344"/>
    <w:p>
      <w:pPr>
        <w:spacing w:after="0"/>
        <w:ind w:left="0"/>
        <w:jc w:val="both"/>
      </w:pPr>
      <w:r>
        <w:rPr>
          <w:rFonts w:ascii="Times New Roman"/>
          <w:b w:val="false"/>
          <w:i w:val="false"/>
          <w:color w:val="000000"/>
          <w:sz w:val="28"/>
        </w:rPr>
        <w:t>
      минимизацию риска концентрации полномочий на одном работнике;</w:t>
      </w:r>
    </w:p>
    <w:bookmarkEnd w:id="344"/>
    <w:bookmarkStart w:name="z365" w:id="345"/>
    <w:p>
      <w:pPr>
        <w:spacing w:after="0"/>
        <w:ind w:left="0"/>
        <w:jc w:val="both"/>
      </w:pPr>
      <w:r>
        <w:rPr>
          <w:rFonts w:ascii="Times New Roman"/>
          <w:b w:val="false"/>
          <w:i w:val="false"/>
          <w:color w:val="000000"/>
          <w:sz w:val="28"/>
        </w:rPr>
        <w:t>
      внутренний порядок оплаты труда работников филиала банка-нерезидента Республики Казахстан, включая порядок выплаты вознаграждений, а также других видов материального поощрения;</w:t>
      </w:r>
    </w:p>
    <w:bookmarkEnd w:id="345"/>
    <w:bookmarkStart w:name="z366" w:id="346"/>
    <w:p>
      <w:pPr>
        <w:spacing w:after="0"/>
        <w:ind w:left="0"/>
        <w:jc w:val="both"/>
      </w:pPr>
      <w:r>
        <w:rPr>
          <w:rFonts w:ascii="Times New Roman"/>
          <w:b w:val="false"/>
          <w:i w:val="false"/>
          <w:color w:val="000000"/>
          <w:sz w:val="28"/>
        </w:rPr>
        <w:t>
      проведение оценки эффективности работы работников филиала банка-нерезидента Республики Казахстан;</w:t>
      </w:r>
    </w:p>
    <w:bookmarkEnd w:id="346"/>
    <w:bookmarkStart w:name="z367" w:id="347"/>
    <w:p>
      <w:pPr>
        <w:spacing w:after="0"/>
        <w:ind w:left="0"/>
        <w:jc w:val="both"/>
      </w:pPr>
      <w:r>
        <w:rPr>
          <w:rFonts w:ascii="Times New Roman"/>
          <w:b w:val="false"/>
          <w:i w:val="false"/>
          <w:color w:val="000000"/>
          <w:sz w:val="28"/>
        </w:rPr>
        <w:t>
      6) разработку тарифной политики для дальнейшего вынесения на утверждение соответствующего органа управления банка-нерезидента Республики Казахстан;</w:t>
      </w:r>
    </w:p>
    <w:bookmarkEnd w:id="347"/>
    <w:bookmarkStart w:name="z368" w:id="348"/>
    <w:p>
      <w:pPr>
        <w:spacing w:after="0"/>
        <w:ind w:left="0"/>
        <w:jc w:val="both"/>
      </w:pPr>
      <w:r>
        <w:rPr>
          <w:rFonts w:ascii="Times New Roman"/>
          <w:b w:val="false"/>
          <w:i w:val="false"/>
          <w:color w:val="000000"/>
          <w:sz w:val="28"/>
        </w:rPr>
        <w:t>
      7) разработку кредитной политики филиала банка-нерезидента Республики Казахстан для дальнейшего вынесения на рассмотрение комитета по управлению рисками и на утверждение соответствующего органа управления банка-нерезидента Республики Казахстан;</w:t>
      </w:r>
    </w:p>
    <w:bookmarkEnd w:id="348"/>
    <w:bookmarkStart w:name="z369" w:id="349"/>
    <w:p>
      <w:pPr>
        <w:spacing w:after="0"/>
        <w:ind w:left="0"/>
        <w:jc w:val="both"/>
      </w:pPr>
      <w:r>
        <w:rPr>
          <w:rFonts w:ascii="Times New Roman"/>
          <w:b w:val="false"/>
          <w:i w:val="false"/>
          <w:color w:val="000000"/>
          <w:sz w:val="28"/>
        </w:rPr>
        <w:t>
      8) утверждение плана (планов) по обеспечению непрерывности и (или) восстановлению деятельности филиала банка-нерезидента Республики Казахстан;</w:t>
      </w:r>
    </w:p>
    <w:bookmarkEnd w:id="349"/>
    <w:bookmarkStart w:name="z370" w:id="350"/>
    <w:p>
      <w:pPr>
        <w:spacing w:after="0"/>
        <w:ind w:left="0"/>
        <w:jc w:val="both"/>
      </w:pPr>
      <w:r>
        <w:rPr>
          <w:rFonts w:ascii="Times New Roman"/>
          <w:b w:val="false"/>
          <w:i w:val="false"/>
          <w:color w:val="000000"/>
          <w:sz w:val="28"/>
        </w:rPr>
        <w:t>
      9) разработку внутреннего порядка рассмотрения обращений клиентов, возникающих в процессе предоставления банковских услуг филиалом банка-нерезидента Республики Казахстан. Внутренний порядок рассмотрения обращений клиентов учитывает требования банковского законодательства Республики Казахстан и определяет:</w:t>
      </w:r>
    </w:p>
    <w:bookmarkEnd w:id="350"/>
    <w:bookmarkStart w:name="z371" w:id="351"/>
    <w:p>
      <w:pPr>
        <w:spacing w:after="0"/>
        <w:ind w:left="0"/>
        <w:jc w:val="both"/>
      </w:pPr>
      <w:r>
        <w:rPr>
          <w:rFonts w:ascii="Times New Roman"/>
          <w:b w:val="false"/>
          <w:i w:val="false"/>
          <w:color w:val="000000"/>
          <w:sz w:val="28"/>
        </w:rPr>
        <w:t>
      процедуры ведения делопроизводства по жалобам (заявлениям) клиентов, включая прием, первоначальную обработку, регистрацию обращений, поступающих в филиал банка-нерезидента Республики Казахстан, и ответов на обращения клиентов;</w:t>
      </w:r>
    </w:p>
    <w:bookmarkEnd w:id="351"/>
    <w:bookmarkStart w:name="z372" w:id="352"/>
    <w:p>
      <w:pPr>
        <w:spacing w:after="0"/>
        <w:ind w:left="0"/>
        <w:jc w:val="both"/>
      </w:pPr>
      <w:r>
        <w:rPr>
          <w:rFonts w:ascii="Times New Roman"/>
          <w:b w:val="false"/>
          <w:i w:val="false"/>
          <w:color w:val="000000"/>
          <w:sz w:val="28"/>
        </w:rPr>
        <w:t>
      структурное подразделение филиала банка-нерезидента Республики Казахстан, ответственное за ведение делопроизводства по обращениям клиентов;</w:t>
      </w:r>
    </w:p>
    <w:bookmarkEnd w:id="352"/>
    <w:bookmarkStart w:name="z373" w:id="353"/>
    <w:p>
      <w:pPr>
        <w:spacing w:after="0"/>
        <w:ind w:left="0"/>
        <w:jc w:val="both"/>
      </w:pPr>
      <w:r>
        <w:rPr>
          <w:rFonts w:ascii="Times New Roman"/>
          <w:b w:val="false"/>
          <w:i w:val="false"/>
          <w:color w:val="000000"/>
          <w:sz w:val="28"/>
        </w:rPr>
        <w:t>
      процедуры доведения (передачи) поступивших обращений до ответственных структурных подразделений или работников, которым будет поручено осуществить обработку и подготовку ответа на обращение клиента;</w:t>
      </w:r>
    </w:p>
    <w:bookmarkEnd w:id="353"/>
    <w:bookmarkStart w:name="z374" w:id="354"/>
    <w:p>
      <w:pPr>
        <w:spacing w:after="0"/>
        <w:ind w:left="0"/>
        <w:jc w:val="both"/>
      </w:pPr>
      <w:r>
        <w:rPr>
          <w:rFonts w:ascii="Times New Roman"/>
          <w:b w:val="false"/>
          <w:i w:val="false"/>
          <w:color w:val="000000"/>
          <w:sz w:val="28"/>
        </w:rPr>
        <w:t>
      сроки своевременной обработки обращений клиентов и подготовки ответов на обращения клиентов;</w:t>
      </w:r>
    </w:p>
    <w:bookmarkEnd w:id="354"/>
    <w:bookmarkStart w:name="z375" w:id="355"/>
    <w:p>
      <w:pPr>
        <w:spacing w:after="0"/>
        <w:ind w:left="0"/>
        <w:jc w:val="both"/>
      </w:pPr>
      <w:r>
        <w:rPr>
          <w:rFonts w:ascii="Times New Roman"/>
          <w:b w:val="false"/>
          <w:i w:val="false"/>
          <w:color w:val="000000"/>
          <w:sz w:val="28"/>
        </w:rPr>
        <w:t>
      внутренний порядок взаимодействия структурных подразделений филиала банка-нерезидента Республики Казахстан при рассмотрении обращений клиентов и подготовке ответов на обращения клиентов;</w:t>
      </w:r>
    </w:p>
    <w:bookmarkEnd w:id="355"/>
    <w:bookmarkStart w:name="z376" w:id="356"/>
    <w:p>
      <w:pPr>
        <w:spacing w:after="0"/>
        <w:ind w:left="0"/>
        <w:jc w:val="both"/>
      </w:pPr>
      <w:r>
        <w:rPr>
          <w:rFonts w:ascii="Times New Roman"/>
          <w:b w:val="false"/>
          <w:i w:val="false"/>
          <w:color w:val="000000"/>
          <w:sz w:val="28"/>
        </w:rPr>
        <w:t>
      внутренний порядок и процедуры ведения классификатора поступивших обращений клиентов филиала банка-нерезидента Республики Казахстан;</w:t>
      </w:r>
    </w:p>
    <w:bookmarkEnd w:id="356"/>
    <w:bookmarkStart w:name="z377" w:id="357"/>
    <w:p>
      <w:pPr>
        <w:spacing w:after="0"/>
        <w:ind w:left="0"/>
        <w:jc w:val="both"/>
      </w:pPr>
      <w:r>
        <w:rPr>
          <w:rFonts w:ascii="Times New Roman"/>
          <w:b w:val="false"/>
          <w:i w:val="false"/>
          <w:color w:val="000000"/>
          <w:sz w:val="28"/>
        </w:rPr>
        <w:t>
      10) разработку процедуры и (или) внутреннего порядка отказа от проведения высокорисковых операций, включая операции с величинами, создаваемыми и учитываемыми в децентрализованной информационной системе с применением средств криптографии и (или) компьютерных вычислений, не являющимися в соответствии с гражданским законодательством Республики Казахстан финансовыми инструментами или финансовыми активами и не содержащими право требования к кому-либо, а также расторжения деловых отношений с клиентом с учетом присущих факторов риска.</w:t>
      </w:r>
    </w:p>
    <w:bookmarkEnd w:id="357"/>
    <w:bookmarkStart w:name="z378" w:id="358"/>
    <w:p>
      <w:pPr>
        <w:spacing w:after="0"/>
        <w:ind w:left="0"/>
        <w:jc w:val="both"/>
      </w:pPr>
      <w:r>
        <w:rPr>
          <w:rFonts w:ascii="Times New Roman"/>
          <w:b w:val="false"/>
          <w:i w:val="false"/>
          <w:color w:val="000000"/>
          <w:sz w:val="28"/>
        </w:rPr>
        <w:t>
      Руководящие работники филиала банка-нерезидента Республики Казахстан осуществляют руководство текущей деятельностью филиала банка-нерезидента Республики Казахстан в соответствии с выбранной бизнес-моделью, масштабом деятельности, видами и сложностью операций, риск-профилем и внутренними документами, утвержденными соответствующим органом управления банка-нерезидента Республики Казахстан, и отвечают за:</w:t>
      </w:r>
    </w:p>
    <w:bookmarkEnd w:id="358"/>
    <w:bookmarkStart w:name="z379" w:id="359"/>
    <w:p>
      <w:pPr>
        <w:spacing w:after="0"/>
        <w:ind w:left="0"/>
        <w:jc w:val="both"/>
      </w:pPr>
      <w:r>
        <w:rPr>
          <w:rFonts w:ascii="Times New Roman"/>
          <w:b w:val="false"/>
          <w:i w:val="false"/>
          <w:color w:val="000000"/>
          <w:sz w:val="28"/>
        </w:rPr>
        <w:t>
      1) обеспечение исполнения стратегии филиала банка-нерезидента Республики Казахстан, соблюдение утвержденных банком-нерезидентом Республики Казахстан процедур, процессов и политик;</w:t>
      </w:r>
    </w:p>
    <w:bookmarkEnd w:id="359"/>
    <w:bookmarkStart w:name="z380" w:id="360"/>
    <w:p>
      <w:pPr>
        <w:spacing w:after="0"/>
        <w:ind w:left="0"/>
        <w:jc w:val="both"/>
      </w:pPr>
      <w:r>
        <w:rPr>
          <w:rFonts w:ascii="Times New Roman"/>
          <w:b w:val="false"/>
          <w:i w:val="false"/>
          <w:color w:val="000000"/>
          <w:sz w:val="28"/>
        </w:rPr>
        <w:t>
      2) осуществление мониторинга исполнения стратегии и оценку соответствия стратегии филиала банка-нерезидента Республики Казахстан текущей рыночной и экономической ситуации, риск-профилю и финансовому потенциалу, а также требованиям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w:t>
      </w:r>
    </w:p>
    <w:bookmarkEnd w:id="360"/>
    <w:bookmarkStart w:name="z381" w:id="361"/>
    <w:p>
      <w:pPr>
        <w:spacing w:after="0"/>
        <w:ind w:left="0"/>
        <w:jc w:val="both"/>
      </w:pPr>
      <w:r>
        <w:rPr>
          <w:rFonts w:ascii="Times New Roman"/>
          <w:b w:val="false"/>
          <w:i w:val="false"/>
          <w:color w:val="000000"/>
          <w:sz w:val="28"/>
        </w:rPr>
        <w:t>
      3) осуществление мониторинга соблюдения филиалом банка-нерезидента Республики Казахстан и его работниками политики управления рентабельностью филиала банка-нерезидента Республики Казахстан;</w:t>
      </w:r>
    </w:p>
    <w:bookmarkEnd w:id="361"/>
    <w:bookmarkStart w:name="z382" w:id="362"/>
    <w:p>
      <w:pPr>
        <w:spacing w:after="0"/>
        <w:ind w:left="0"/>
        <w:jc w:val="both"/>
      </w:pPr>
      <w:r>
        <w:rPr>
          <w:rFonts w:ascii="Times New Roman"/>
          <w:b w:val="false"/>
          <w:i w:val="false"/>
          <w:color w:val="000000"/>
          <w:sz w:val="28"/>
        </w:rPr>
        <w:t>
      4) осуществление мониторинга соответствия кадровой политики филиала банка-нерезидента Республики Казахстан стратегии, организационной структуре, риск-профилю филиала банка-нерезидента Республики Казахстан, достигнутым результатам и требованиям трудового, банковского законодательства Республики Казахстан;</w:t>
      </w:r>
    </w:p>
    <w:bookmarkEnd w:id="362"/>
    <w:bookmarkStart w:name="z383" w:id="363"/>
    <w:p>
      <w:pPr>
        <w:spacing w:after="0"/>
        <w:ind w:left="0"/>
        <w:jc w:val="both"/>
      </w:pPr>
      <w:r>
        <w:rPr>
          <w:rFonts w:ascii="Times New Roman"/>
          <w:b w:val="false"/>
          <w:i w:val="false"/>
          <w:color w:val="000000"/>
          <w:sz w:val="28"/>
        </w:rPr>
        <w:t>
      5) осуществление мониторинга соблюдения филиалом банка-нерезидента Республики Казахстан и его работниками тарифной политики;</w:t>
      </w:r>
    </w:p>
    <w:bookmarkEnd w:id="363"/>
    <w:bookmarkStart w:name="z384" w:id="364"/>
    <w:p>
      <w:pPr>
        <w:spacing w:after="0"/>
        <w:ind w:left="0"/>
        <w:jc w:val="both"/>
      </w:pPr>
      <w:r>
        <w:rPr>
          <w:rFonts w:ascii="Times New Roman"/>
          <w:b w:val="false"/>
          <w:i w:val="false"/>
          <w:color w:val="000000"/>
          <w:sz w:val="28"/>
        </w:rPr>
        <w:t>
      6) предоставление соответствующему органу управления банка-нерезидента Республики Казахстан необходимой информации для контроля и оценки качества работы руководящих работников филиала банка-нерезидента Республики Казахстан в соответствии с установленными внутренними документами банка-нерезидента Республики Казахстан и Правилами, которая включает:</w:t>
      </w:r>
    </w:p>
    <w:bookmarkEnd w:id="364"/>
    <w:bookmarkStart w:name="z385" w:id="365"/>
    <w:p>
      <w:pPr>
        <w:spacing w:after="0"/>
        <w:ind w:left="0"/>
        <w:jc w:val="both"/>
      </w:pPr>
      <w:r>
        <w:rPr>
          <w:rFonts w:ascii="Times New Roman"/>
          <w:b w:val="false"/>
          <w:i w:val="false"/>
          <w:color w:val="000000"/>
          <w:sz w:val="28"/>
        </w:rPr>
        <w:t>
      достижение руководящими работниками филиала банка-нерезидента Республики Казахстан целей, установленных в стратегии филиала банка-нерезидента Республики Казахстан, с указанием, при наличии, причин, препятствующих их достижению;</w:t>
      </w:r>
    </w:p>
    <w:bookmarkEnd w:id="365"/>
    <w:bookmarkStart w:name="z386" w:id="366"/>
    <w:p>
      <w:pPr>
        <w:spacing w:after="0"/>
        <w:ind w:left="0"/>
        <w:jc w:val="both"/>
      </w:pPr>
      <w:r>
        <w:rPr>
          <w:rFonts w:ascii="Times New Roman"/>
          <w:b w:val="false"/>
          <w:i w:val="false"/>
          <w:color w:val="000000"/>
          <w:sz w:val="28"/>
        </w:rPr>
        <w:t>
      соответствие деятельности филиала банка-нерезидента Республики Казахстан стратегии и политикам, утвержденным соответствующим органом управления банка-нерезидента Республики Казахстан;</w:t>
      </w:r>
    </w:p>
    <w:bookmarkEnd w:id="366"/>
    <w:bookmarkStart w:name="z387" w:id="367"/>
    <w:p>
      <w:pPr>
        <w:spacing w:after="0"/>
        <w:ind w:left="0"/>
        <w:jc w:val="both"/>
      </w:pPr>
      <w:r>
        <w:rPr>
          <w:rFonts w:ascii="Times New Roman"/>
          <w:b w:val="false"/>
          <w:i w:val="false"/>
          <w:color w:val="000000"/>
          <w:sz w:val="28"/>
        </w:rPr>
        <w:t>
      результаты деятельности филиала банка-нерезидента Республики Казахстан и его финансовое положение, в том числе информацию об устойчивости (волатильности) доходности филиала банка-нерезидента Республики Казахстан;</w:t>
      </w:r>
    </w:p>
    <w:bookmarkEnd w:id="367"/>
    <w:bookmarkStart w:name="z388" w:id="368"/>
    <w:p>
      <w:pPr>
        <w:spacing w:after="0"/>
        <w:ind w:left="0"/>
        <w:jc w:val="both"/>
      </w:pPr>
      <w:r>
        <w:rPr>
          <w:rFonts w:ascii="Times New Roman"/>
          <w:b w:val="false"/>
          <w:i w:val="false"/>
          <w:color w:val="000000"/>
          <w:sz w:val="28"/>
        </w:rPr>
        <w:t>
      несоответствие принимаемых филиалом банка-нерезидента Республики Казахстан решений утвержденным соответствующим органом управления банка-нерезидента Республики Казахстан процедурам, процессам и политикам;</w:t>
      </w:r>
    </w:p>
    <w:bookmarkEnd w:id="368"/>
    <w:bookmarkStart w:name="z389" w:id="369"/>
    <w:p>
      <w:pPr>
        <w:spacing w:after="0"/>
        <w:ind w:left="0"/>
        <w:jc w:val="both"/>
      </w:pPr>
      <w:r>
        <w:rPr>
          <w:rFonts w:ascii="Times New Roman"/>
          <w:b w:val="false"/>
          <w:i w:val="false"/>
          <w:color w:val="000000"/>
          <w:sz w:val="28"/>
        </w:rPr>
        <w:t>
      превышение утвержденных уровней риск-аппетита и причин их нарушения;</w:t>
      </w:r>
    </w:p>
    <w:bookmarkEnd w:id="369"/>
    <w:bookmarkStart w:name="z390" w:id="370"/>
    <w:p>
      <w:pPr>
        <w:spacing w:after="0"/>
        <w:ind w:left="0"/>
        <w:jc w:val="both"/>
      </w:pPr>
      <w:r>
        <w:rPr>
          <w:rFonts w:ascii="Times New Roman"/>
          <w:b w:val="false"/>
          <w:i w:val="false"/>
          <w:color w:val="000000"/>
          <w:sz w:val="28"/>
        </w:rPr>
        <w:t>
      информацию о своевременности, полноте и качестве устранения руководящими работниками филиала банка-нерезидента Республики Казахстан нарушений и недостатков, выявленных подразделениями по комплаенс-контролю, управлению рисками, внутреннего контроля, внутреннего аудита, внешним аудитом и уполномоченным органом, а также выполнения их рекомендаций;</w:t>
      </w:r>
    </w:p>
    <w:bookmarkEnd w:id="370"/>
    <w:bookmarkStart w:name="z391" w:id="371"/>
    <w:p>
      <w:pPr>
        <w:spacing w:after="0"/>
        <w:ind w:left="0"/>
        <w:jc w:val="both"/>
      </w:pPr>
      <w:r>
        <w:rPr>
          <w:rFonts w:ascii="Times New Roman"/>
          <w:b w:val="false"/>
          <w:i w:val="false"/>
          <w:color w:val="000000"/>
          <w:sz w:val="28"/>
        </w:rPr>
        <w:t>
      информацию о состоянии внутреннего контроля в части своевременного выявления некорректных, неполных или несанкционированных операций, недостатков в деятельности по обеспечению сохранности активов, ошибок при формировании отчетности по данным бухгалтерского учета филиала банка-нерезидента Республики Казахстан и регуляторной отчетности, нарушениях внутренних документов филиала банка-нерезидента Республики Казахстан,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а также исключения конфликтов интересов и внутренних злоупотреблений и мошенничества, в том числе в отношении лиц, связанных с филиалом банка-нерезидента Республики Казахстан особыми отношениями;</w:t>
      </w:r>
    </w:p>
    <w:bookmarkEnd w:id="371"/>
    <w:bookmarkStart w:name="z392" w:id="372"/>
    <w:p>
      <w:pPr>
        <w:spacing w:after="0"/>
        <w:ind w:left="0"/>
        <w:jc w:val="both"/>
      </w:pPr>
      <w:r>
        <w:rPr>
          <w:rFonts w:ascii="Times New Roman"/>
          <w:b w:val="false"/>
          <w:i w:val="false"/>
          <w:color w:val="000000"/>
          <w:sz w:val="28"/>
        </w:rPr>
        <w:t>
      7) осуществление мониторинга соблюдения филиалом банка-нерезидента Республики Казахстан требований внутреннего порядка рассмотрения обращений клиентов, возникающих в процессе предоставления банковских услуг.</w:t>
      </w:r>
    </w:p>
    <w:bookmarkEnd w:id="372"/>
    <w:bookmarkStart w:name="z393" w:id="373"/>
    <w:p>
      <w:pPr>
        <w:spacing w:after="0"/>
        <w:ind w:left="0"/>
        <w:jc w:val="both"/>
      </w:pPr>
      <w:r>
        <w:rPr>
          <w:rFonts w:ascii="Times New Roman"/>
          <w:b w:val="false"/>
          <w:i w:val="false"/>
          <w:color w:val="000000"/>
          <w:sz w:val="28"/>
        </w:rPr>
        <w:t>
      Соответствующий исполнительный орган банка-нерезидента Республики Казахстан отвечает за надлежащее исполнение обязанностей, делегированных коллегиальным органам или работникам банка-нерезидента Республики Казахстан, в том числе работникам филиала банка-нерезидента Республики Казахстан в рамках утвержденной организационной структуры банка-нерезидента Республики Казахстан и филиала банка-нерезидента Республики Казахстан.</w:t>
      </w:r>
    </w:p>
    <w:bookmarkEnd w:id="373"/>
    <w:bookmarkStart w:name="z394" w:id="374"/>
    <w:p>
      <w:pPr>
        <w:spacing w:after="0"/>
        <w:ind w:left="0"/>
        <w:jc w:val="both"/>
      </w:pPr>
      <w:r>
        <w:rPr>
          <w:rFonts w:ascii="Times New Roman"/>
          <w:b w:val="false"/>
          <w:i w:val="false"/>
          <w:color w:val="000000"/>
          <w:sz w:val="28"/>
        </w:rPr>
        <w:t>
      Правление банка отвечает за надлежащее исполнение обязанностей, делегированных коллегиальным органам или работникам банка в рамках утвержденной организационной структуры банка.";</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396" w:id="375"/>
    <w:p>
      <w:pPr>
        <w:spacing w:after="0"/>
        <w:ind w:left="0"/>
        <w:jc w:val="both"/>
      </w:pPr>
      <w:r>
        <w:rPr>
          <w:rFonts w:ascii="Times New Roman"/>
          <w:b w:val="false"/>
          <w:i w:val="false"/>
          <w:color w:val="000000"/>
          <w:sz w:val="28"/>
        </w:rPr>
        <w:t>
      "42. В рамках системы управления кредитным риском банк руководствуется следующими принципами и требованиями:</w:t>
      </w:r>
    </w:p>
    <w:bookmarkEnd w:id="375"/>
    <w:bookmarkStart w:name="z397" w:id="376"/>
    <w:p>
      <w:pPr>
        <w:spacing w:after="0"/>
        <w:ind w:left="0"/>
        <w:jc w:val="both"/>
      </w:pPr>
      <w:r>
        <w:rPr>
          <w:rFonts w:ascii="Times New Roman"/>
          <w:b w:val="false"/>
          <w:i w:val="false"/>
          <w:color w:val="000000"/>
          <w:sz w:val="28"/>
        </w:rPr>
        <w:t>
      1) совет директоров и комитет по вопросам управления рисками банка обеспечивают:</w:t>
      </w:r>
    </w:p>
    <w:bookmarkEnd w:id="376"/>
    <w:bookmarkStart w:name="z398" w:id="377"/>
    <w:p>
      <w:pPr>
        <w:spacing w:after="0"/>
        <w:ind w:left="0"/>
        <w:jc w:val="both"/>
      </w:pPr>
      <w:r>
        <w:rPr>
          <w:rFonts w:ascii="Times New Roman"/>
          <w:b w:val="false"/>
          <w:i w:val="false"/>
          <w:color w:val="000000"/>
          <w:sz w:val="28"/>
        </w:rPr>
        <w:t>
      поддержание достаточного уровня провизий;</w:t>
      </w:r>
    </w:p>
    <w:bookmarkEnd w:id="377"/>
    <w:bookmarkStart w:name="z399" w:id="378"/>
    <w:p>
      <w:pPr>
        <w:spacing w:after="0"/>
        <w:ind w:left="0"/>
        <w:jc w:val="both"/>
      </w:pPr>
      <w:r>
        <w:rPr>
          <w:rFonts w:ascii="Times New Roman"/>
          <w:b w:val="false"/>
          <w:i w:val="false"/>
          <w:color w:val="000000"/>
          <w:sz w:val="28"/>
        </w:rPr>
        <w:t>
      осуществление контроля над процессом оценки кредитного риска, который обеспечивается следующим:</w:t>
      </w:r>
    </w:p>
    <w:bookmarkEnd w:id="378"/>
    <w:bookmarkStart w:name="z400" w:id="379"/>
    <w:p>
      <w:pPr>
        <w:spacing w:after="0"/>
        <w:ind w:left="0"/>
        <w:jc w:val="both"/>
      </w:pPr>
      <w:r>
        <w:rPr>
          <w:rFonts w:ascii="Times New Roman"/>
          <w:b w:val="false"/>
          <w:i w:val="false"/>
          <w:color w:val="000000"/>
          <w:sz w:val="28"/>
        </w:rPr>
        <w:t>
      принятием необходимых мер по обеспечению полноты и достоверности информации в целях принятия решений;</w:t>
      </w:r>
    </w:p>
    <w:bookmarkEnd w:id="379"/>
    <w:bookmarkStart w:name="z401" w:id="380"/>
    <w:p>
      <w:pPr>
        <w:spacing w:after="0"/>
        <w:ind w:left="0"/>
        <w:jc w:val="both"/>
      </w:pPr>
      <w:r>
        <w:rPr>
          <w:rFonts w:ascii="Times New Roman"/>
          <w:b w:val="false"/>
          <w:i w:val="false"/>
          <w:color w:val="000000"/>
          <w:sz w:val="28"/>
        </w:rPr>
        <w:t>
      соблюдением требований гражданского, налогового, банковского законодательства Республики Казахстан, законодательства Республики Казахстан о бухгалтерском учете и финансовой отчетности, о кредитных бюро и формировании кредитных историй, внутренних политик и процедур по управлению кредитным риском;</w:t>
      </w:r>
    </w:p>
    <w:bookmarkEnd w:id="380"/>
    <w:bookmarkStart w:name="z402" w:id="381"/>
    <w:p>
      <w:pPr>
        <w:spacing w:after="0"/>
        <w:ind w:left="0"/>
        <w:jc w:val="both"/>
      </w:pPr>
      <w:r>
        <w:rPr>
          <w:rFonts w:ascii="Times New Roman"/>
          <w:b w:val="false"/>
          <w:i w:val="false"/>
          <w:color w:val="000000"/>
          <w:sz w:val="28"/>
        </w:rPr>
        <w:t>
      принятием мер по обеспечению полной и достоверной управленческой, регуляторной и финансовой отчетности;</w:t>
      </w:r>
    </w:p>
    <w:bookmarkEnd w:id="381"/>
    <w:bookmarkStart w:name="z403" w:id="382"/>
    <w:p>
      <w:pPr>
        <w:spacing w:after="0"/>
        <w:ind w:left="0"/>
        <w:jc w:val="both"/>
      </w:pPr>
      <w:r>
        <w:rPr>
          <w:rFonts w:ascii="Times New Roman"/>
          <w:b w:val="false"/>
          <w:i w:val="false"/>
          <w:color w:val="000000"/>
          <w:sz w:val="28"/>
        </w:rPr>
        <w:t>
      наличием независимой от бизнес-подразделений процедуры оценки займов;</w:t>
      </w:r>
    </w:p>
    <w:bookmarkEnd w:id="382"/>
    <w:bookmarkStart w:name="z404" w:id="383"/>
    <w:p>
      <w:pPr>
        <w:spacing w:after="0"/>
        <w:ind w:left="0"/>
        <w:jc w:val="both"/>
      </w:pPr>
      <w:r>
        <w:rPr>
          <w:rFonts w:ascii="Times New Roman"/>
          <w:b w:val="false"/>
          <w:i w:val="false"/>
          <w:color w:val="000000"/>
          <w:sz w:val="28"/>
        </w:rPr>
        <w:t>
      утверждением адекватной системы классификации активов по уровню кредитного риска, основанной на использовании всей доступной информации в процессе оценки займов;</w:t>
      </w:r>
    </w:p>
    <w:bookmarkEnd w:id="383"/>
    <w:bookmarkStart w:name="z405" w:id="384"/>
    <w:p>
      <w:pPr>
        <w:spacing w:after="0"/>
        <w:ind w:left="0"/>
        <w:jc w:val="both"/>
      </w:pPr>
      <w:r>
        <w:rPr>
          <w:rFonts w:ascii="Times New Roman"/>
          <w:b w:val="false"/>
          <w:i w:val="false"/>
          <w:color w:val="000000"/>
          <w:sz w:val="28"/>
        </w:rPr>
        <w:t>
      наличием детально и в полном объеме регламентированных процедур взаимодействия между участниками процесса управления кредитным риском;</w:t>
      </w:r>
    </w:p>
    <w:bookmarkEnd w:id="384"/>
    <w:bookmarkStart w:name="z406" w:id="385"/>
    <w:p>
      <w:pPr>
        <w:spacing w:after="0"/>
        <w:ind w:left="0"/>
        <w:jc w:val="both"/>
      </w:pPr>
      <w:r>
        <w:rPr>
          <w:rFonts w:ascii="Times New Roman"/>
          <w:b w:val="false"/>
          <w:i w:val="false"/>
          <w:color w:val="000000"/>
          <w:sz w:val="28"/>
        </w:rPr>
        <w:t>
      построение эффективной системы внутреннего контроля, включающей оценку соответствия уровня провизий ожидаемым потерям в рамках утвержденной методики формирования провизий и внутреннего процесса оценки достаточности капитала;</w:t>
      </w:r>
    </w:p>
    <w:bookmarkEnd w:id="385"/>
    <w:bookmarkStart w:name="z407" w:id="386"/>
    <w:p>
      <w:pPr>
        <w:spacing w:after="0"/>
        <w:ind w:left="0"/>
        <w:jc w:val="both"/>
      </w:pPr>
      <w:r>
        <w:rPr>
          <w:rFonts w:ascii="Times New Roman"/>
          <w:b w:val="false"/>
          <w:i w:val="false"/>
          <w:color w:val="000000"/>
          <w:sz w:val="28"/>
        </w:rPr>
        <w:t>
      2) банк осуществляет кредитную деятельность и управление кредитным риском в рамках утвержденной кредитной политики, которая включает, но не ограничиваясь, следующее:</w:t>
      </w:r>
    </w:p>
    <w:bookmarkEnd w:id="386"/>
    <w:bookmarkStart w:name="z408" w:id="387"/>
    <w:p>
      <w:pPr>
        <w:spacing w:after="0"/>
        <w:ind w:left="0"/>
        <w:jc w:val="both"/>
      </w:pPr>
      <w:r>
        <w:rPr>
          <w:rFonts w:ascii="Times New Roman"/>
          <w:b w:val="false"/>
          <w:i w:val="false"/>
          <w:color w:val="000000"/>
          <w:sz w:val="28"/>
        </w:rPr>
        <w:t>
      основные направления кредитной деятельности банка;</w:t>
      </w:r>
    </w:p>
    <w:bookmarkEnd w:id="387"/>
    <w:bookmarkStart w:name="z409" w:id="388"/>
    <w:p>
      <w:pPr>
        <w:spacing w:after="0"/>
        <w:ind w:left="0"/>
        <w:jc w:val="both"/>
      </w:pPr>
      <w:r>
        <w:rPr>
          <w:rFonts w:ascii="Times New Roman"/>
          <w:b w:val="false"/>
          <w:i w:val="false"/>
          <w:color w:val="000000"/>
          <w:sz w:val="28"/>
        </w:rPr>
        <w:t>
      участников кредитного процесса и сферы их ответственности;</w:t>
      </w:r>
    </w:p>
    <w:bookmarkEnd w:id="388"/>
    <w:bookmarkStart w:name="z410" w:id="389"/>
    <w:p>
      <w:pPr>
        <w:spacing w:after="0"/>
        <w:ind w:left="0"/>
        <w:jc w:val="both"/>
      </w:pPr>
      <w:r>
        <w:rPr>
          <w:rFonts w:ascii="Times New Roman"/>
          <w:b w:val="false"/>
          <w:i w:val="false"/>
          <w:color w:val="000000"/>
          <w:sz w:val="28"/>
        </w:rPr>
        <w:t>
      внутренний порядок принятия кредитных решений, включая порядок рассмотрения и одобрения кредитов, в том числе в отношении кредитования лиц, связанных с банком особыми отношениями, лимиты кредитования в целях ограничения концентрации кредитного риска;</w:t>
      </w:r>
    </w:p>
    <w:bookmarkEnd w:id="389"/>
    <w:bookmarkStart w:name="z411" w:id="390"/>
    <w:p>
      <w:pPr>
        <w:spacing w:after="0"/>
        <w:ind w:left="0"/>
        <w:jc w:val="both"/>
      </w:pPr>
      <w:r>
        <w:rPr>
          <w:rFonts w:ascii="Times New Roman"/>
          <w:b w:val="false"/>
          <w:i w:val="false"/>
          <w:color w:val="000000"/>
          <w:sz w:val="28"/>
        </w:rPr>
        <w:t>
      процедуру анализа кредитоспособности заемщика.</w:t>
      </w:r>
    </w:p>
    <w:bookmarkEnd w:id="390"/>
    <w:bookmarkStart w:name="z412" w:id="391"/>
    <w:p>
      <w:pPr>
        <w:spacing w:after="0"/>
        <w:ind w:left="0"/>
        <w:jc w:val="both"/>
      </w:pPr>
      <w:r>
        <w:rPr>
          <w:rFonts w:ascii="Times New Roman"/>
          <w:b w:val="false"/>
          <w:i w:val="false"/>
          <w:color w:val="000000"/>
          <w:sz w:val="28"/>
        </w:rPr>
        <w:t>
      В случае, если совокупная сумма предоставленных займов и принятых условных обязательств физическому лицу превышает 0,01 (ноль целых одну сотую) процента от собственного капитала банка, размер которого выше 100 (ста) миллиардов тенге, или превышает 0,02 (ноль целых две сотых)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391"/>
    <w:bookmarkStart w:name="z413" w:id="392"/>
    <w:p>
      <w:pPr>
        <w:spacing w:after="0"/>
        <w:ind w:left="0"/>
        <w:jc w:val="both"/>
      </w:pPr>
      <w:r>
        <w:rPr>
          <w:rFonts w:ascii="Times New Roman"/>
          <w:b w:val="false"/>
          <w:i w:val="false"/>
          <w:color w:val="000000"/>
          <w:sz w:val="28"/>
        </w:rPr>
        <w:t>
      наличие постоянного и достаточного дохода заемщика;</w:t>
      </w:r>
    </w:p>
    <w:bookmarkEnd w:id="392"/>
    <w:bookmarkStart w:name="z414" w:id="393"/>
    <w:p>
      <w:pPr>
        <w:spacing w:after="0"/>
        <w:ind w:left="0"/>
        <w:jc w:val="both"/>
      </w:pPr>
      <w:r>
        <w:rPr>
          <w:rFonts w:ascii="Times New Roman"/>
          <w:b w:val="false"/>
          <w:i w:val="false"/>
          <w:color w:val="000000"/>
          <w:sz w:val="28"/>
        </w:rPr>
        <w:t>
      наличие недвижимого и другого имущества;</w:t>
      </w:r>
    </w:p>
    <w:bookmarkEnd w:id="393"/>
    <w:bookmarkStart w:name="z415" w:id="394"/>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394"/>
    <w:bookmarkStart w:name="z416" w:id="395"/>
    <w:p>
      <w:pPr>
        <w:spacing w:after="0"/>
        <w:ind w:left="0"/>
        <w:jc w:val="both"/>
      </w:pPr>
      <w:r>
        <w:rPr>
          <w:rFonts w:ascii="Times New Roman"/>
          <w:b w:val="false"/>
          <w:i w:val="false"/>
          <w:color w:val="000000"/>
          <w:sz w:val="28"/>
        </w:rPr>
        <w:t>
      долговая нагрузка;</w:t>
      </w:r>
    </w:p>
    <w:bookmarkEnd w:id="395"/>
    <w:bookmarkStart w:name="z417" w:id="396"/>
    <w:p>
      <w:pPr>
        <w:spacing w:after="0"/>
        <w:ind w:left="0"/>
        <w:jc w:val="both"/>
      </w:pPr>
      <w:r>
        <w:rPr>
          <w:rFonts w:ascii="Times New Roman"/>
          <w:b w:val="false"/>
          <w:i w:val="false"/>
          <w:color w:val="000000"/>
          <w:sz w:val="28"/>
        </w:rPr>
        <w:t>
      платежная дисциплина (кредитная история) по займам;</w:t>
      </w:r>
    </w:p>
    <w:bookmarkEnd w:id="396"/>
    <w:bookmarkStart w:name="z418" w:id="397"/>
    <w:p>
      <w:pPr>
        <w:spacing w:after="0"/>
        <w:ind w:left="0"/>
        <w:jc w:val="both"/>
      </w:pPr>
      <w:r>
        <w:rPr>
          <w:rFonts w:ascii="Times New Roman"/>
          <w:b w:val="false"/>
          <w:i w:val="false"/>
          <w:color w:val="000000"/>
          <w:sz w:val="28"/>
        </w:rPr>
        <w:t>
      рейтинг заемщика в скоринговых системах банка (при наличии);</w:t>
      </w:r>
    </w:p>
    <w:bookmarkEnd w:id="397"/>
    <w:bookmarkStart w:name="z419" w:id="398"/>
    <w:p>
      <w:pPr>
        <w:spacing w:after="0"/>
        <w:ind w:left="0"/>
        <w:jc w:val="both"/>
      </w:pPr>
      <w:r>
        <w:rPr>
          <w:rFonts w:ascii="Times New Roman"/>
          <w:b w:val="false"/>
          <w:i w:val="false"/>
          <w:color w:val="000000"/>
          <w:sz w:val="28"/>
        </w:rPr>
        <w:t>
      наличие иной задолженности;</w:t>
      </w:r>
    </w:p>
    <w:bookmarkEnd w:id="398"/>
    <w:bookmarkStart w:name="z420" w:id="399"/>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399"/>
    <w:bookmarkStart w:name="z421" w:id="400"/>
    <w:p>
      <w:pPr>
        <w:spacing w:after="0"/>
        <w:ind w:left="0"/>
        <w:jc w:val="both"/>
      </w:pPr>
      <w:r>
        <w:rPr>
          <w:rFonts w:ascii="Times New Roman"/>
          <w:b w:val="false"/>
          <w:i w:val="false"/>
          <w:color w:val="000000"/>
          <w:sz w:val="28"/>
        </w:rPr>
        <w:t>
      остатки и операции по банковским счетам;</w:t>
      </w:r>
    </w:p>
    <w:bookmarkEnd w:id="400"/>
    <w:bookmarkStart w:name="z422" w:id="401"/>
    <w:p>
      <w:pPr>
        <w:spacing w:after="0"/>
        <w:ind w:left="0"/>
        <w:jc w:val="both"/>
      </w:pPr>
      <w:r>
        <w:rPr>
          <w:rFonts w:ascii="Times New Roman"/>
          <w:b w:val="false"/>
          <w:i w:val="false"/>
          <w:color w:val="000000"/>
          <w:sz w:val="28"/>
        </w:rPr>
        <w:t>
      информация об образовании и занятости (сфере деятельности);</w:t>
      </w:r>
    </w:p>
    <w:bookmarkEnd w:id="401"/>
    <w:bookmarkStart w:name="z423" w:id="402"/>
    <w:p>
      <w:pPr>
        <w:spacing w:after="0"/>
        <w:ind w:left="0"/>
        <w:jc w:val="both"/>
      </w:pPr>
      <w:r>
        <w:rPr>
          <w:rFonts w:ascii="Times New Roman"/>
          <w:b w:val="false"/>
          <w:i w:val="false"/>
          <w:color w:val="000000"/>
          <w:sz w:val="28"/>
        </w:rPr>
        <w:t>
      социально-демографические характеристики;</w:t>
      </w:r>
    </w:p>
    <w:bookmarkEnd w:id="402"/>
    <w:bookmarkStart w:name="z424" w:id="403"/>
    <w:p>
      <w:pPr>
        <w:spacing w:after="0"/>
        <w:ind w:left="0"/>
        <w:jc w:val="both"/>
      </w:pPr>
      <w:r>
        <w:rPr>
          <w:rFonts w:ascii="Times New Roman"/>
          <w:b w:val="false"/>
          <w:i w:val="false"/>
          <w:color w:val="000000"/>
          <w:sz w:val="28"/>
        </w:rPr>
        <w:t>
      информация о целевом использовании денег;</w:t>
      </w:r>
    </w:p>
    <w:bookmarkEnd w:id="403"/>
    <w:bookmarkStart w:name="z425" w:id="404"/>
    <w:p>
      <w:pPr>
        <w:spacing w:after="0"/>
        <w:ind w:left="0"/>
        <w:jc w:val="both"/>
      </w:pPr>
      <w:r>
        <w:rPr>
          <w:rFonts w:ascii="Times New Roman"/>
          <w:b w:val="false"/>
          <w:i w:val="false"/>
          <w:color w:val="000000"/>
          <w:sz w:val="28"/>
        </w:rPr>
        <w:t>
      дополнительная информация о доходах заемщика.</w:t>
      </w:r>
    </w:p>
    <w:bookmarkEnd w:id="404"/>
    <w:bookmarkStart w:name="z426" w:id="405"/>
    <w:p>
      <w:pPr>
        <w:spacing w:after="0"/>
        <w:ind w:left="0"/>
        <w:jc w:val="both"/>
      </w:pPr>
      <w:r>
        <w:rPr>
          <w:rFonts w:ascii="Times New Roman"/>
          <w:b w:val="false"/>
          <w:i w:val="false"/>
          <w:color w:val="000000"/>
          <w:sz w:val="28"/>
        </w:rPr>
        <w:t>
      В случае, если совокупная сумма предоставленных займов и принятых условных обязательств физическому лицу не превышает 0,01 (ноль целых одну сотую) процента от собственного капитала банка, размер которого выше 100 (ста) миллиардов тенге, или не превышает 0,02 (ноль целых две сотых)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405"/>
    <w:bookmarkStart w:name="z427" w:id="406"/>
    <w:p>
      <w:pPr>
        <w:spacing w:after="0"/>
        <w:ind w:left="0"/>
        <w:jc w:val="both"/>
      </w:pPr>
      <w:r>
        <w:rPr>
          <w:rFonts w:ascii="Times New Roman"/>
          <w:b w:val="false"/>
          <w:i w:val="false"/>
          <w:color w:val="000000"/>
          <w:sz w:val="28"/>
        </w:rPr>
        <w:t>
      наличие постоянного и достаточного дохода заемщика;</w:t>
      </w:r>
    </w:p>
    <w:bookmarkEnd w:id="406"/>
    <w:bookmarkStart w:name="z428" w:id="407"/>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407"/>
    <w:bookmarkStart w:name="z429" w:id="408"/>
    <w:p>
      <w:pPr>
        <w:spacing w:after="0"/>
        <w:ind w:left="0"/>
        <w:jc w:val="both"/>
      </w:pPr>
      <w:r>
        <w:rPr>
          <w:rFonts w:ascii="Times New Roman"/>
          <w:b w:val="false"/>
          <w:i w:val="false"/>
          <w:color w:val="000000"/>
          <w:sz w:val="28"/>
        </w:rPr>
        <w:t>
      долговая нагрузка;</w:t>
      </w:r>
    </w:p>
    <w:bookmarkEnd w:id="408"/>
    <w:bookmarkStart w:name="z430" w:id="409"/>
    <w:p>
      <w:pPr>
        <w:spacing w:after="0"/>
        <w:ind w:left="0"/>
        <w:jc w:val="both"/>
      </w:pPr>
      <w:r>
        <w:rPr>
          <w:rFonts w:ascii="Times New Roman"/>
          <w:b w:val="false"/>
          <w:i w:val="false"/>
          <w:color w:val="000000"/>
          <w:sz w:val="28"/>
        </w:rPr>
        <w:t>
      платежная дисциплина (кредитная история) по займам;</w:t>
      </w:r>
    </w:p>
    <w:bookmarkEnd w:id="409"/>
    <w:bookmarkStart w:name="z431" w:id="410"/>
    <w:p>
      <w:pPr>
        <w:spacing w:after="0"/>
        <w:ind w:left="0"/>
        <w:jc w:val="both"/>
      </w:pPr>
      <w:r>
        <w:rPr>
          <w:rFonts w:ascii="Times New Roman"/>
          <w:b w:val="false"/>
          <w:i w:val="false"/>
          <w:color w:val="000000"/>
          <w:sz w:val="28"/>
        </w:rPr>
        <w:t>
      рейтинг заемщика в скоринговых системах банка (при наличии);</w:t>
      </w:r>
    </w:p>
    <w:bookmarkEnd w:id="410"/>
    <w:bookmarkStart w:name="z432" w:id="411"/>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411"/>
    <w:bookmarkStart w:name="z433" w:id="412"/>
    <w:p>
      <w:pPr>
        <w:spacing w:after="0"/>
        <w:ind w:left="0"/>
        <w:jc w:val="both"/>
      </w:pPr>
      <w:r>
        <w:rPr>
          <w:rFonts w:ascii="Times New Roman"/>
          <w:b w:val="false"/>
          <w:i w:val="false"/>
          <w:color w:val="000000"/>
          <w:sz w:val="28"/>
        </w:rPr>
        <w:t>
      остатки и операции по банковским счетам;</w:t>
      </w:r>
    </w:p>
    <w:bookmarkEnd w:id="412"/>
    <w:bookmarkStart w:name="z434" w:id="413"/>
    <w:p>
      <w:pPr>
        <w:spacing w:after="0"/>
        <w:ind w:left="0"/>
        <w:jc w:val="both"/>
      </w:pPr>
      <w:r>
        <w:rPr>
          <w:rFonts w:ascii="Times New Roman"/>
          <w:b w:val="false"/>
          <w:i w:val="false"/>
          <w:color w:val="000000"/>
          <w:sz w:val="28"/>
        </w:rPr>
        <w:t>
      информация об образовании и занятости;</w:t>
      </w:r>
    </w:p>
    <w:bookmarkEnd w:id="413"/>
    <w:bookmarkStart w:name="z435" w:id="414"/>
    <w:p>
      <w:pPr>
        <w:spacing w:after="0"/>
        <w:ind w:left="0"/>
        <w:jc w:val="both"/>
      </w:pPr>
      <w:r>
        <w:rPr>
          <w:rFonts w:ascii="Times New Roman"/>
          <w:b w:val="false"/>
          <w:i w:val="false"/>
          <w:color w:val="000000"/>
          <w:sz w:val="28"/>
        </w:rPr>
        <w:t>
      социально-демографические характеристики;</w:t>
      </w:r>
    </w:p>
    <w:bookmarkEnd w:id="414"/>
    <w:bookmarkStart w:name="z436" w:id="415"/>
    <w:p>
      <w:pPr>
        <w:spacing w:after="0"/>
        <w:ind w:left="0"/>
        <w:jc w:val="both"/>
      </w:pPr>
      <w:r>
        <w:rPr>
          <w:rFonts w:ascii="Times New Roman"/>
          <w:b w:val="false"/>
          <w:i w:val="false"/>
          <w:color w:val="000000"/>
          <w:sz w:val="28"/>
        </w:rPr>
        <w:t>
      информация о целевом использовании денег (при наличии).</w:t>
      </w:r>
    </w:p>
    <w:bookmarkEnd w:id="415"/>
    <w:bookmarkStart w:name="z437" w:id="416"/>
    <w:p>
      <w:pPr>
        <w:spacing w:after="0"/>
        <w:ind w:left="0"/>
        <w:jc w:val="both"/>
      </w:pPr>
      <w:r>
        <w:rPr>
          <w:rFonts w:ascii="Times New Roman"/>
          <w:b w:val="false"/>
          <w:i w:val="false"/>
          <w:color w:val="000000"/>
          <w:sz w:val="28"/>
        </w:rPr>
        <w:t>
      В случае, если совокупная сумма предоставленных займов и условных обязательств юридическому лицу превышает 0,1 (ноль целых одну десятую) процента от собственного капитала банка, размер которого выше 100 (ста) миллиардов тенге, или превышает 0,2 (ноль целых две десятых)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416"/>
    <w:bookmarkStart w:name="z438" w:id="417"/>
    <w:p>
      <w:pPr>
        <w:spacing w:after="0"/>
        <w:ind w:left="0"/>
        <w:jc w:val="both"/>
      </w:pPr>
      <w:r>
        <w:rPr>
          <w:rFonts w:ascii="Times New Roman"/>
          <w:b w:val="false"/>
          <w:i w:val="false"/>
          <w:color w:val="000000"/>
          <w:sz w:val="28"/>
        </w:rPr>
        <w:t>
      анализ финансовой отчетности и основных финансовых коэффициентов заемщиков-юридических лиц (рентабельность, соотношение собственных и заемных средств, план поступления денежных средств (за исключением случаев выдачи займов финансовым организациям, размещения вкладов в финансовых организациях, открытия кредитной линии сроком менее 6 (шести) месяцев), уровня доходов.</w:t>
      </w:r>
    </w:p>
    <w:bookmarkEnd w:id="417"/>
    <w:bookmarkStart w:name="z439" w:id="418"/>
    <w:p>
      <w:pPr>
        <w:spacing w:after="0"/>
        <w:ind w:left="0"/>
        <w:jc w:val="both"/>
      </w:pPr>
      <w:r>
        <w:rPr>
          <w:rFonts w:ascii="Times New Roman"/>
          <w:b w:val="false"/>
          <w:i w:val="false"/>
          <w:color w:val="000000"/>
          <w:sz w:val="28"/>
        </w:rPr>
        <w:t>
      Принимаемая для анализа финансовая отчетность заемщика (за исключением случаев финансирования в виде овердрафтов, кредитных карт, кредитных линий сроком менее 6 (шести) месяцев) балансовая стоимость активов которого превышает 0,2 (ноль целых две десятых) процента от собственного капитала банка, соответствует следующим требованиям:</w:t>
      </w:r>
    </w:p>
    <w:bookmarkEnd w:id="418"/>
    <w:bookmarkStart w:name="z440" w:id="419"/>
    <w:p>
      <w:pPr>
        <w:spacing w:after="0"/>
        <w:ind w:left="0"/>
        <w:jc w:val="both"/>
      </w:pPr>
      <w:r>
        <w:rPr>
          <w:rFonts w:ascii="Times New Roman"/>
          <w:b w:val="false"/>
          <w:i w:val="false"/>
          <w:color w:val="000000"/>
          <w:sz w:val="28"/>
        </w:rPr>
        <w:t>
      наличие трех основных форм отчетности с расшифровками счетов по материальным (значимым) компонентам баланса (более 5 (пяти) процентов от валюты баланса) и (или) отчета о прибылях и убытках (более 5 (пяти) процентов от выручки). Данное требование не распространяется на акционерное общество "Фонд национального благосостояния "Самрук-Қазына", акционерное общество "Национальный управляющий холдинг "Байтерек", публичные компании, имеющие долгосрочный кредитный рейтинг по международной шкале агентств Standard &amp; Poor's (Стандард энд Пурс), Moody's Investors Service (Мудис Инвесторс Сервис) или Fitch Ratings Inc. (Фич Рейтингс), юридические лица, которые включаются в консолидированную финансовую отчетность частных международных корпораций (акции или доли участия которых не листингуются на фондовой бирже либо международных фондовых биржах) или публичных международных корпораций, а также на случаи наличия аудированной финансовой отчетности, заверенной компаниями, соответствующими листинговым требованиям фондовой биржи;</w:t>
      </w:r>
    </w:p>
    <w:bookmarkEnd w:id="419"/>
    <w:bookmarkStart w:name="z441" w:id="420"/>
    <w:p>
      <w:pPr>
        <w:spacing w:after="0"/>
        <w:ind w:left="0"/>
        <w:jc w:val="both"/>
      </w:pPr>
      <w:r>
        <w:rPr>
          <w:rFonts w:ascii="Times New Roman"/>
          <w:b w:val="false"/>
          <w:i w:val="false"/>
          <w:color w:val="000000"/>
          <w:sz w:val="28"/>
        </w:rPr>
        <w:t>
      соответствие между всеми формами финансовой отчетности;</w:t>
      </w:r>
    </w:p>
    <w:bookmarkEnd w:id="420"/>
    <w:bookmarkStart w:name="z442" w:id="421"/>
    <w:p>
      <w:pPr>
        <w:spacing w:after="0"/>
        <w:ind w:left="0"/>
        <w:jc w:val="both"/>
      </w:pPr>
      <w:r>
        <w:rPr>
          <w:rFonts w:ascii="Times New Roman"/>
          <w:b w:val="false"/>
          <w:i w:val="false"/>
          <w:color w:val="000000"/>
          <w:sz w:val="28"/>
        </w:rPr>
        <w:t>
      наличие подписей ответственных (уполномоченных) лиц заемщика под предоставленной финансовой отчетностью.</w:t>
      </w:r>
    </w:p>
    <w:bookmarkEnd w:id="421"/>
    <w:bookmarkStart w:name="z443" w:id="422"/>
    <w:p>
      <w:pPr>
        <w:spacing w:after="0"/>
        <w:ind w:left="0"/>
        <w:jc w:val="both"/>
      </w:pPr>
      <w:r>
        <w:rPr>
          <w:rFonts w:ascii="Times New Roman"/>
          <w:b w:val="false"/>
          <w:i w:val="false"/>
          <w:color w:val="000000"/>
          <w:sz w:val="28"/>
        </w:rPr>
        <w:t>
      В случае наличия аудированной финансовой отчетности, соответствующей листинговым требованиям фондовой биржи, приоритетно используется аудированная финансовая отчетность для любых целей, а также не требуется ее сверка с налоговой декларацией. Сверка с налоговой декларацией финансовой отчетности не требуется для юридических лиц, которые включаются в консолидированную финансовую отчетность частных международных корпораций (акции или доли участия которых не листингуются на фондовой бирже либо международных фондовых биржах) или публичных международных корпораций.</w:t>
      </w:r>
    </w:p>
    <w:bookmarkEnd w:id="422"/>
    <w:bookmarkStart w:name="z444" w:id="423"/>
    <w:p>
      <w:pPr>
        <w:spacing w:after="0"/>
        <w:ind w:left="0"/>
        <w:jc w:val="both"/>
      </w:pPr>
      <w:r>
        <w:rPr>
          <w:rFonts w:ascii="Times New Roman"/>
          <w:b w:val="false"/>
          <w:i w:val="false"/>
          <w:color w:val="000000"/>
          <w:sz w:val="28"/>
        </w:rPr>
        <w:t>
      Требуется наличие налоговой декларации (в случае, когда сдача налоговой декларации требуется налоговым законодательством Республики Казахстан) и отсутствие противоречия данных из налоговой декларации с данными из финансовой отчетности, используемой для оценки признаков обесценения и расчета денежных потоков в целях расчета провизий, за один и тот же период. Расхождения между показателями финансовой и налоговой отчетностей допускаются ввиду различий бухгалтерского и налогового учета. В иных случаях причины существенных расхождений данных между формами отчетности описываются в заключении ответственного подразделения банка по заемщику и рассматриваются уполномоченным коллегиальным органом банка.</w:t>
      </w:r>
    </w:p>
    <w:bookmarkEnd w:id="423"/>
    <w:bookmarkStart w:name="z445" w:id="424"/>
    <w:p>
      <w:pPr>
        <w:spacing w:after="0"/>
        <w:ind w:left="0"/>
        <w:jc w:val="both"/>
      </w:pPr>
      <w:r>
        <w:rPr>
          <w:rFonts w:ascii="Times New Roman"/>
          <w:b w:val="false"/>
          <w:i w:val="false"/>
          <w:color w:val="000000"/>
          <w:sz w:val="28"/>
        </w:rPr>
        <w:t>
      Банк устанавливает существенность расхождений во внутренних документах. В случае отсутствия установленных порогов существенными расхождениями являются (но не ограничиваясь) расхождения в размере более 30 (тридцати) процентов по показателям выручки, итогового финансового результата, рентабельности активов.</w:t>
      </w:r>
    </w:p>
    <w:bookmarkEnd w:id="424"/>
    <w:bookmarkStart w:name="z446" w:id="425"/>
    <w:p>
      <w:pPr>
        <w:spacing w:after="0"/>
        <w:ind w:left="0"/>
        <w:jc w:val="both"/>
      </w:pPr>
      <w:r>
        <w:rPr>
          <w:rFonts w:ascii="Times New Roman"/>
          <w:b w:val="false"/>
          <w:i w:val="false"/>
          <w:color w:val="000000"/>
          <w:sz w:val="28"/>
        </w:rPr>
        <w:t>
      В случае объективности финансовой отчетности банк использует финансовую отчетность в целях оценки признаков обесценения и расчета денежных потоков в целях расчета провизий.</w:t>
      </w:r>
    </w:p>
    <w:bookmarkEnd w:id="425"/>
    <w:bookmarkStart w:name="z447" w:id="426"/>
    <w:p>
      <w:pPr>
        <w:spacing w:after="0"/>
        <w:ind w:left="0"/>
        <w:jc w:val="both"/>
      </w:pPr>
      <w:r>
        <w:rPr>
          <w:rFonts w:ascii="Times New Roman"/>
          <w:b w:val="false"/>
          <w:i w:val="false"/>
          <w:color w:val="000000"/>
          <w:sz w:val="28"/>
        </w:rPr>
        <w:t>
      В случае отсутствия финансовой отчетности и (или) налоговой декларации (в случае, когда их сдача не требуется законодательством Республики Казахстан о бухгалтерском учете и финансовой отчетности и (или) налоговым законодательством Республики Казахстан) запрашивается информация об активах заемщика и иных источниках дохода (выписки по банковским счетам, подтверждение наличия в собственности соответствующих активов).</w:t>
      </w:r>
    </w:p>
    <w:bookmarkEnd w:id="426"/>
    <w:bookmarkStart w:name="z448" w:id="427"/>
    <w:p>
      <w:pPr>
        <w:spacing w:after="0"/>
        <w:ind w:left="0"/>
        <w:jc w:val="both"/>
      </w:pPr>
      <w:r>
        <w:rPr>
          <w:rFonts w:ascii="Times New Roman"/>
          <w:b w:val="false"/>
          <w:i w:val="false"/>
          <w:color w:val="000000"/>
          <w:sz w:val="28"/>
        </w:rPr>
        <w:t>
      В рамках оценки признаков обесценения и категорий обесценения допускается использование финансовой отчетности заемщиков, созаемщиков, гарантов и поручителей в консолидированном виде.</w:t>
      </w:r>
    </w:p>
    <w:bookmarkEnd w:id="427"/>
    <w:bookmarkStart w:name="z449" w:id="428"/>
    <w:p>
      <w:pPr>
        <w:spacing w:after="0"/>
        <w:ind w:left="0"/>
        <w:jc w:val="both"/>
      </w:pPr>
      <w:r>
        <w:rPr>
          <w:rFonts w:ascii="Times New Roman"/>
          <w:b w:val="false"/>
          <w:i w:val="false"/>
          <w:color w:val="000000"/>
          <w:sz w:val="28"/>
        </w:rPr>
        <w:t>
      В целях расчета ожидаемых денежных потоков по займу допускается консолидация финансовой отчетности заемщика (в том числе со стороны банка) с отчетностью лиц (в том числе связанных с заемщиком), имеющих договорные обязательства с заемщиком по погашению его задолженности в случае наступления его неплатежеспособности, а также с отчетностью лиц, не имеющих таких договорных обязательств с заемщиком, если активы данного лица выступают обеспечением по обязательствам заемщика.</w:t>
      </w:r>
    </w:p>
    <w:bookmarkEnd w:id="428"/>
    <w:bookmarkStart w:name="z450" w:id="429"/>
    <w:p>
      <w:pPr>
        <w:spacing w:after="0"/>
        <w:ind w:left="0"/>
        <w:jc w:val="both"/>
      </w:pPr>
      <w:r>
        <w:rPr>
          <w:rFonts w:ascii="Times New Roman"/>
          <w:b w:val="false"/>
          <w:i w:val="false"/>
          <w:color w:val="000000"/>
          <w:sz w:val="28"/>
        </w:rPr>
        <w:t>
      В случае выдачи банком займа без соблюдения требований, установленных абзацами тридцать третьим, тридцать четвертым, тридцать пятым, тридцать шестым, тридцать восьмым, тридцать девятым, сорок первым, сорок вторым и сорок третьим настоящего подпункта, все обязательства заемщика относятся к обесцененным активам по МСФО и провизии рассчитываются по методу "gone-concern" (допущение о нулевых денежных потоках от операционной деятельности);</w:t>
      </w:r>
    </w:p>
    <w:bookmarkEnd w:id="429"/>
    <w:bookmarkStart w:name="z451" w:id="430"/>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430"/>
    <w:bookmarkStart w:name="z452" w:id="431"/>
    <w:p>
      <w:pPr>
        <w:spacing w:after="0"/>
        <w:ind w:left="0"/>
        <w:jc w:val="both"/>
      </w:pPr>
      <w:r>
        <w:rPr>
          <w:rFonts w:ascii="Times New Roman"/>
          <w:b w:val="false"/>
          <w:i w:val="false"/>
          <w:color w:val="000000"/>
          <w:sz w:val="28"/>
        </w:rPr>
        <w:t>
      платежная дисциплина (кредитная история) по займам;</w:t>
      </w:r>
    </w:p>
    <w:bookmarkEnd w:id="431"/>
    <w:bookmarkStart w:name="z453" w:id="432"/>
    <w:p>
      <w:pPr>
        <w:spacing w:after="0"/>
        <w:ind w:left="0"/>
        <w:jc w:val="both"/>
      </w:pPr>
      <w:r>
        <w:rPr>
          <w:rFonts w:ascii="Times New Roman"/>
          <w:b w:val="false"/>
          <w:i w:val="false"/>
          <w:color w:val="000000"/>
          <w:sz w:val="28"/>
        </w:rPr>
        <w:t>
      уровень ликвидных активов;</w:t>
      </w:r>
    </w:p>
    <w:bookmarkEnd w:id="432"/>
    <w:bookmarkStart w:name="z454" w:id="433"/>
    <w:p>
      <w:pPr>
        <w:spacing w:after="0"/>
        <w:ind w:left="0"/>
        <w:jc w:val="both"/>
      </w:pPr>
      <w:r>
        <w:rPr>
          <w:rFonts w:ascii="Times New Roman"/>
          <w:b w:val="false"/>
          <w:i w:val="false"/>
          <w:color w:val="000000"/>
          <w:sz w:val="28"/>
        </w:rPr>
        <w:t>
      долговая нагрузка;</w:t>
      </w:r>
    </w:p>
    <w:bookmarkEnd w:id="433"/>
    <w:bookmarkStart w:name="z455" w:id="434"/>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434"/>
    <w:bookmarkStart w:name="z456" w:id="435"/>
    <w:p>
      <w:pPr>
        <w:spacing w:after="0"/>
        <w:ind w:left="0"/>
        <w:jc w:val="both"/>
      </w:pPr>
      <w:r>
        <w:rPr>
          <w:rFonts w:ascii="Times New Roman"/>
          <w:b w:val="false"/>
          <w:i w:val="false"/>
          <w:color w:val="000000"/>
          <w:sz w:val="28"/>
        </w:rPr>
        <w:t>
      прогнозные свободные денежные потоки;</w:t>
      </w:r>
    </w:p>
    <w:bookmarkEnd w:id="435"/>
    <w:bookmarkStart w:name="z457" w:id="436"/>
    <w:p>
      <w:pPr>
        <w:spacing w:after="0"/>
        <w:ind w:left="0"/>
        <w:jc w:val="both"/>
      </w:pPr>
      <w:r>
        <w:rPr>
          <w:rFonts w:ascii="Times New Roman"/>
          <w:b w:val="false"/>
          <w:i w:val="false"/>
          <w:color w:val="000000"/>
          <w:sz w:val="28"/>
        </w:rPr>
        <w:t>
      оценка внешней среды заемщика (состояние экономики, отрасли, перспективы развития, диверсификация производства и рынков сбыта, и характеристики операционной деятельности заемщика, такие как рыночная доля заемщика на соответствующем рынке, позиционирование продукта заемщика, география операций, цикличность бизнеса, изменения в предпочтениях потребителей, изменение в технологии, барьеры вхождения в сектор экономики и другие факторы, влияющие на возможность компании получать доход и поддерживать цены);</w:t>
      </w:r>
    </w:p>
    <w:bookmarkEnd w:id="436"/>
    <w:bookmarkStart w:name="z458" w:id="437"/>
    <w:p>
      <w:pPr>
        <w:spacing w:after="0"/>
        <w:ind w:left="0"/>
        <w:jc w:val="both"/>
      </w:pPr>
      <w:r>
        <w:rPr>
          <w:rFonts w:ascii="Times New Roman"/>
          <w:b w:val="false"/>
          <w:i w:val="false"/>
          <w:color w:val="000000"/>
          <w:sz w:val="28"/>
        </w:rPr>
        <w:t>
      оценка качества управления (опыт, компетентность, деловая репутация);</w:t>
      </w:r>
    </w:p>
    <w:bookmarkEnd w:id="437"/>
    <w:bookmarkStart w:name="z459" w:id="438"/>
    <w:p>
      <w:pPr>
        <w:spacing w:after="0"/>
        <w:ind w:left="0"/>
        <w:jc w:val="both"/>
      </w:pPr>
      <w:r>
        <w:rPr>
          <w:rFonts w:ascii="Times New Roman"/>
          <w:b w:val="false"/>
          <w:i w:val="false"/>
          <w:color w:val="000000"/>
          <w:sz w:val="28"/>
        </w:rPr>
        <w:t>
      оценка собственников заемщика;</w:t>
      </w:r>
    </w:p>
    <w:bookmarkEnd w:id="438"/>
    <w:bookmarkStart w:name="z460" w:id="439"/>
    <w:p>
      <w:pPr>
        <w:spacing w:after="0"/>
        <w:ind w:left="0"/>
        <w:jc w:val="both"/>
      </w:pPr>
      <w:r>
        <w:rPr>
          <w:rFonts w:ascii="Times New Roman"/>
          <w:b w:val="false"/>
          <w:i w:val="false"/>
          <w:color w:val="000000"/>
          <w:sz w:val="28"/>
        </w:rPr>
        <w:t>
      наличие фактов вовлеченности в судебные разбирательства;</w:t>
      </w:r>
    </w:p>
    <w:bookmarkEnd w:id="439"/>
    <w:bookmarkStart w:name="z461" w:id="440"/>
    <w:p>
      <w:pPr>
        <w:spacing w:after="0"/>
        <w:ind w:left="0"/>
        <w:jc w:val="both"/>
      </w:pPr>
      <w:r>
        <w:rPr>
          <w:rFonts w:ascii="Times New Roman"/>
          <w:b w:val="false"/>
          <w:i w:val="false"/>
          <w:color w:val="000000"/>
          <w:sz w:val="28"/>
        </w:rPr>
        <w:t>
      включение в список неблагонадежных налогоплательщиков.</w:t>
      </w:r>
    </w:p>
    <w:bookmarkEnd w:id="440"/>
    <w:bookmarkStart w:name="z462" w:id="441"/>
    <w:p>
      <w:pPr>
        <w:spacing w:after="0"/>
        <w:ind w:left="0"/>
        <w:jc w:val="both"/>
      </w:pPr>
      <w:r>
        <w:rPr>
          <w:rFonts w:ascii="Times New Roman"/>
          <w:b w:val="false"/>
          <w:i w:val="false"/>
          <w:color w:val="000000"/>
          <w:sz w:val="28"/>
        </w:rPr>
        <w:t>
      В случае, если совокупная сумма предоставленных займов и условных обязательств юридическому лицу не превышает 0,1 (ноль целых одну десятую) процента от собственного капитала банка, размер которого выше 100 (ста) миллиардов тенге, или не превышает 0,2 (ноль целых две десятых)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441"/>
    <w:bookmarkStart w:name="z463" w:id="442"/>
    <w:p>
      <w:pPr>
        <w:spacing w:after="0"/>
        <w:ind w:left="0"/>
        <w:jc w:val="both"/>
      </w:pPr>
      <w:r>
        <w:rPr>
          <w:rFonts w:ascii="Times New Roman"/>
          <w:b w:val="false"/>
          <w:i w:val="false"/>
          <w:color w:val="000000"/>
          <w:sz w:val="28"/>
        </w:rPr>
        <w:t>
      наличие постоянного и достаточного дохода заемщика;</w:t>
      </w:r>
    </w:p>
    <w:bookmarkEnd w:id="442"/>
    <w:bookmarkStart w:name="z464" w:id="443"/>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443"/>
    <w:bookmarkStart w:name="z465" w:id="444"/>
    <w:p>
      <w:pPr>
        <w:spacing w:after="0"/>
        <w:ind w:left="0"/>
        <w:jc w:val="both"/>
      </w:pPr>
      <w:r>
        <w:rPr>
          <w:rFonts w:ascii="Times New Roman"/>
          <w:b w:val="false"/>
          <w:i w:val="false"/>
          <w:color w:val="000000"/>
          <w:sz w:val="28"/>
        </w:rPr>
        <w:t>
      платежная дисциплина (кредитная история) по займам;</w:t>
      </w:r>
    </w:p>
    <w:bookmarkEnd w:id="444"/>
    <w:bookmarkStart w:name="z466" w:id="445"/>
    <w:p>
      <w:pPr>
        <w:spacing w:after="0"/>
        <w:ind w:left="0"/>
        <w:jc w:val="both"/>
      </w:pPr>
      <w:r>
        <w:rPr>
          <w:rFonts w:ascii="Times New Roman"/>
          <w:b w:val="false"/>
          <w:i w:val="false"/>
          <w:color w:val="000000"/>
          <w:sz w:val="28"/>
        </w:rPr>
        <w:t>
      долговая нагрузка;</w:t>
      </w:r>
    </w:p>
    <w:bookmarkEnd w:id="445"/>
    <w:bookmarkStart w:name="z467" w:id="446"/>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446"/>
    <w:bookmarkStart w:name="z468" w:id="447"/>
    <w:p>
      <w:pPr>
        <w:spacing w:after="0"/>
        <w:ind w:left="0"/>
        <w:jc w:val="both"/>
      </w:pPr>
      <w:r>
        <w:rPr>
          <w:rFonts w:ascii="Times New Roman"/>
          <w:b w:val="false"/>
          <w:i w:val="false"/>
          <w:color w:val="000000"/>
          <w:sz w:val="28"/>
        </w:rPr>
        <w:t>
      перспективы развития соответствующей отрасли.</w:t>
      </w:r>
    </w:p>
    <w:bookmarkEnd w:id="447"/>
    <w:bookmarkStart w:name="z469" w:id="448"/>
    <w:p>
      <w:pPr>
        <w:spacing w:after="0"/>
        <w:ind w:left="0"/>
        <w:jc w:val="both"/>
      </w:pPr>
      <w:r>
        <w:rPr>
          <w:rFonts w:ascii="Times New Roman"/>
          <w:b w:val="false"/>
          <w:i w:val="false"/>
          <w:color w:val="000000"/>
          <w:sz w:val="28"/>
        </w:rPr>
        <w:t>
      В зависимости от отрасли кредитования и типа заемщика набор количественных и качественных показателей меняется.</w:t>
      </w:r>
    </w:p>
    <w:bookmarkEnd w:id="448"/>
    <w:bookmarkStart w:name="z470" w:id="449"/>
    <w:p>
      <w:pPr>
        <w:spacing w:after="0"/>
        <w:ind w:left="0"/>
        <w:jc w:val="both"/>
      </w:pPr>
      <w:r>
        <w:rPr>
          <w:rFonts w:ascii="Times New Roman"/>
          <w:b w:val="false"/>
          <w:i w:val="false"/>
          <w:color w:val="000000"/>
          <w:sz w:val="28"/>
        </w:rPr>
        <w:t>
      В отношении физических и юридических лиц кредитная политика определяет случаи (выдача банковских гарантий, аккредитивов, банковских гарантий, выпущенных под банковскую контргарантию, а также займов, обеспеченных высоколиквидными активами), при которых не применяется анализ кредитоспособности заемщика. Для банков, являющихся дочерними организациями банков-нерезидентов Республики Казахстан, имеющих долгосрочный кредитный рейтинг в иностранной валюте не ниже "A-" по международной шкале агентства Standard &amp; Poor's (Стандард энд Пурс) или рейтинг аналогичного уровня одного из других рейтинговых агентств, допускается использование анализа кредитоспособности на уровне родительской организации заемщика или организации, включающей заемщика в консолидированную финансовую отчетность, проведенного родительским банком или аффилированным по отношению к банку лицом, при условии, что анализ осуществлен не позднее 12 (двенадцати) месяцев c даты обращения заемщика;</w:t>
      </w:r>
    </w:p>
    <w:bookmarkEnd w:id="449"/>
    <w:bookmarkStart w:name="z471" w:id="450"/>
    <w:p>
      <w:pPr>
        <w:spacing w:after="0"/>
        <w:ind w:left="0"/>
        <w:jc w:val="both"/>
      </w:pPr>
      <w:r>
        <w:rPr>
          <w:rFonts w:ascii="Times New Roman"/>
          <w:b w:val="false"/>
          <w:i w:val="false"/>
          <w:color w:val="000000"/>
          <w:sz w:val="28"/>
        </w:rPr>
        <w:t>
      внутренний порядок принятия кредитных решений в отношении реструктуризации займов в связи с финансовыми затруднениями заемщика, который основан на принципах обоснованности, целесообразности и независимости при принятии решения о проведении реструктуризации и включает описание случаев и условий реструктуризации займов. При этом банк определяет следующие случаи изменения условий договора банковского займа в связи с финансовыми затруднениями заемщика как реструктуризация:</w:t>
      </w:r>
    </w:p>
    <w:bookmarkEnd w:id="450"/>
    <w:bookmarkStart w:name="z472" w:id="451"/>
    <w:p>
      <w:pPr>
        <w:spacing w:after="0"/>
        <w:ind w:left="0"/>
        <w:jc w:val="both"/>
      </w:pPr>
      <w:r>
        <w:rPr>
          <w:rFonts w:ascii="Times New Roman"/>
          <w:b w:val="false"/>
          <w:i w:val="false"/>
          <w:color w:val="000000"/>
          <w:sz w:val="28"/>
        </w:rPr>
        <w:t>
      изменение графика платежей по займу, в том числе последующее предоставление либо продление льготного периода по платежам по займу для погашения основного долга и (или) вознаграждения;</w:t>
      </w:r>
    </w:p>
    <w:bookmarkEnd w:id="451"/>
    <w:bookmarkStart w:name="z473" w:id="452"/>
    <w:p>
      <w:pPr>
        <w:spacing w:after="0"/>
        <w:ind w:left="0"/>
        <w:jc w:val="both"/>
      </w:pPr>
      <w:r>
        <w:rPr>
          <w:rFonts w:ascii="Times New Roman"/>
          <w:b w:val="false"/>
          <w:i w:val="false"/>
          <w:color w:val="000000"/>
          <w:sz w:val="28"/>
        </w:rPr>
        <w:t>
      последующее продление срока займа;</w:t>
      </w:r>
    </w:p>
    <w:bookmarkEnd w:id="452"/>
    <w:bookmarkStart w:name="z474" w:id="453"/>
    <w:p>
      <w:pPr>
        <w:spacing w:after="0"/>
        <w:ind w:left="0"/>
        <w:jc w:val="both"/>
      </w:pPr>
      <w:r>
        <w:rPr>
          <w:rFonts w:ascii="Times New Roman"/>
          <w:b w:val="false"/>
          <w:i w:val="false"/>
          <w:color w:val="000000"/>
          <w:sz w:val="28"/>
        </w:rPr>
        <w:t>
      отсрочка одного или более платежа по займу в совокупности на срок более 30 (тридцати) календарных дней;</w:t>
      </w:r>
    </w:p>
    <w:bookmarkEnd w:id="453"/>
    <w:bookmarkStart w:name="z475" w:id="454"/>
    <w:p>
      <w:pPr>
        <w:spacing w:after="0"/>
        <w:ind w:left="0"/>
        <w:jc w:val="both"/>
      </w:pPr>
      <w:r>
        <w:rPr>
          <w:rFonts w:ascii="Times New Roman"/>
          <w:b w:val="false"/>
          <w:i w:val="false"/>
          <w:color w:val="000000"/>
          <w:sz w:val="28"/>
        </w:rPr>
        <w:t>
      прощение части основного долга и (или) вознаграждения по займу;</w:t>
      </w:r>
    </w:p>
    <w:bookmarkEnd w:id="454"/>
    <w:bookmarkStart w:name="z476" w:id="455"/>
    <w:p>
      <w:pPr>
        <w:spacing w:after="0"/>
        <w:ind w:left="0"/>
        <w:jc w:val="both"/>
      </w:pPr>
      <w:r>
        <w:rPr>
          <w:rFonts w:ascii="Times New Roman"/>
          <w:b w:val="false"/>
          <w:i w:val="false"/>
          <w:color w:val="000000"/>
          <w:sz w:val="28"/>
        </w:rPr>
        <w:t>
      капитализация просроченных в совокупности более 30 (тридцати) календарных дней платежей по вознаграждению;</w:t>
      </w:r>
    </w:p>
    <w:bookmarkEnd w:id="455"/>
    <w:bookmarkStart w:name="z477" w:id="456"/>
    <w:p>
      <w:pPr>
        <w:spacing w:after="0"/>
        <w:ind w:left="0"/>
        <w:jc w:val="both"/>
      </w:pPr>
      <w:r>
        <w:rPr>
          <w:rFonts w:ascii="Times New Roman"/>
          <w:b w:val="false"/>
          <w:i w:val="false"/>
          <w:color w:val="000000"/>
          <w:sz w:val="28"/>
        </w:rPr>
        <w:t>
      изменение (конвертация) валюты займа с одной валюты на другую с капитализацией просроченной задолженности по вознаграждению и (или) фиксация обменного курса по займам в иностранной валюте;</w:t>
      </w:r>
    </w:p>
    <w:bookmarkEnd w:id="456"/>
    <w:bookmarkStart w:name="z478" w:id="457"/>
    <w:p>
      <w:pPr>
        <w:spacing w:after="0"/>
        <w:ind w:left="0"/>
        <w:jc w:val="both"/>
      </w:pPr>
      <w:r>
        <w:rPr>
          <w:rFonts w:ascii="Times New Roman"/>
          <w:b w:val="false"/>
          <w:i w:val="false"/>
          <w:color w:val="000000"/>
          <w:sz w:val="28"/>
        </w:rPr>
        <w:t>
      предоставление нового займа для оплаты просроченной задолженности по займу в банке, в том числе в других финансовых организациях;</w:t>
      </w:r>
    </w:p>
    <w:bookmarkEnd w:id="457"/>
    <w:bookmarkStart w:name="z479" w:id="458"/>
    <w:p>
      <w:pPr>
        <w:spacing w:after="0"/>
        <w:ind w:left="0"/>
        <w:jc w:val="both"/>
      </w:pPr>
      <w:r>
        <w:rPr>
          <w:rFonts w:ascii="Times New Roman"/>
          <w:b w:val="false"/>
          <w:i w:val="false"/>
          <w:color w:val="000000"/>
          <w:sz w:val="28"/>
        </w:rPr>
        <w:t>
      увеличение кредитного лимита в случае наличия просроченной в совокупности более 30 (тридцати) календарных дней задолженности по займу;</w:t>
      </w:r>
    </w:p>
    <w:bookmarkEnd w:id="458"/>
    <w:bookmarkStart w:name="z480" w:id="459"/>
    <w:p>
      <w:pPr>
        <w:spacing w:after="0"/>
        <w:ind w:left="0"/>
        <w:jc w:val="both"/>
      </w:pPr>
      <w:r>
        <w:rPr>
          <w:rFonts w:ascii="Times New Roman"/>
          <w:b w:val="false"/>
          <w:i w:val="false"/>
          <w:color w:val="000000"/>
          <w:sz w:val="28"/>
        </w:rPr>
        <w:t>
      снижение ставки вознаграждения по займу, за исключением изменения размера базового показателя по займу с плавающей ставкой вознаграждения;</w:t>
      </w:r>
    </w:p>
    <w:bookmarkEnd w:id="459"/>
    <w:bookmarkStart w:name="z481" w:id="460"/>
    <w:p>
      <w:pPr>
        <w:spacing w:after="0"/>
        <w:ind w:left="0"/>
        <w:jc w:val="both"/>
      </w:pPr>
      <w:r>
        <w:rPr>
          <w:rFonts w:ascii="Times New Roman"/>
          <w:b w:val="false"/>
          <w:i w:val="false"/>
          <w:color w:val="000000"/>
          <w:sz w:val="28"/>
        </w:rPr>
        <w:t>
      снижение задолженности по займу в результате погашения суммы задолженности, за счет передаваемого финансовой организации залогового имущества заемщика.</w:t>
      </w:r>
    </w:p>
    <w:bookmarkEnd w:id="460"/>
    <w:bookmarkStart w:name="z482" w:id="461"/>
    <w:p>
      <w:pPr>
        <w:spacing w:after="0"/>
        <w:ind w:left="0"/>
        <w:jc w:val="both"/>
      </w:pPr>
      <w:r>
        <w:rPr>
          <w:rFonts w:ascii="Times New Roman"/>
          <w:b w:val="false"/>
          <w:i w:val="false"/>
          <w:color w:val="000000"/>
          <w:sz w:val="28"/>
        </w:rPr>
        <w:t>
      Банк принимает решение о реструктуризации займов по заемщикам, имеющим финансовые затруднения с учетом наличия перспектив погашения займа после реструктуризации.</w:t>
      </w:r>
    </w:p>
    <w:bookmarkEnd w:id="461"/>
    <w:bookmarkStart w:name="z483" w:id="462"/>
    <w:p>
      <w:pPr>
        <w:spacing w:after="0"/>
        <w:ind w:left="0"/>
        <w:jc w:val="both"/>
      </w:pPr>
      <w:r>
        <w:rPr>
          <w:rFonts w:ascii="Times New Roman"/>
          <w:b w:val="false"/>
          <w:i w:val="false"/>
          <w:color w:val="000000"/>
          <w:sz w:val="28"/>
        </w:rPr>
        <w:t>
      Решение о проведении реструктуризации займов (по заемщикам и (или) группе взаимосвязанных заемщиков, имеющих финансовые затруднения, общая задолженность, включая условные обязательства, которых превышает 1 (один) процент от собственного капитала банка, размер которого выше 100 (ста) миллиардов тенге, или 2 (два) процента от собственного капитала банка, размер которого до 100 (ста) миллиардов тенге) принимается правлением банка или уполномоченным коллегиальным органом банка, в состав которого входит председатель правления банка. Информация о принятых решениях на ежеквартальной основе направляется членам совета директоров банка;</w:t>
      </w:r>
    </w:p>
    <w:bookmarkEnd w:id="462"/>
    <w:bookmarkStart w:name="z484" w:id="463"/>
    <w:p>
      <w:pPr>
        <w:spacing w:after="0"/>
        <w:ind w:left="0"/>
        <w:jc w:val="both"/>
      </w:pPr>
      <w:r>
        <w:rPr>
          <w:rFonts w:ascii="Times New Roman"/>
          <w:b w:val="false"/>
          <w:i w:val="false"/>
          <w:color w:val="000000"/>
          <w:sz w:val="28"/>
        </w:rPr>
        <w:t>
      приемлемые методы управления кредитным риском, учитывающие (но, не ограничиваясь ими) следующие факторы:</w:t>
      </w:r>
    </w:p>
    <w:bookmarkEnd w:id="463"/>
    <w:bookmarkStart w:name="z485" w:id="464"/>
    <w:p>
      <w:pPr>
        <w:spacing w:after="0"/>
        <w:ind w:left="0"/>
        <w:jc w:val="both"/>
      </w:pPr>
      <w:r>
        <w:rPr>
          <w:rFonts w:ascii="Times New Roman"/>
          <w:b w:val="false"/>
          <w:i w:val="false"/>
          <w:color w:val="000000"/>
          <w:sz w:val="28"/>
        </w:rPr>
        <w:t>
      собственные знания и опыт в использовании метода;</w:t>
      </w:r>
    </w:p>
    <w:bookmarkEnd w:id="464"/>
    <w:bookmarkStart w:name="z486" w:id="465"/>
    <w:p>
      <w:pPr>
        <w:spacing w:after="0"/>
        <w:ind w:left="0"/>
        <w:jc w:val="both"/>
      </w:pPr>
      <w:r>
        <w:rPr>
          <w:rFonts w:ascii="Times New Roman"/>
          <w:b w:val="false"/>
          <w:i w:val="false"/>
          <w:color w:val="000000"/>
          <w:sz w:val="28"/>
        </w:rPr>
        <w:t>
      экономическую эффективность;</w:t>
      </w:r>
    </w:p>
    <w:bookmarkEnd w:id="465"/>
    <w:bookmarkStart w:name="z487" w:id="466"/>
    <w:p>
      <w:pPr>
        <w:spacing w:after="0"/>
        <w:ind w:left="0"/>
        <w:jc w:val="both"/>
      </w:pPr>
      <w:r>
        <w:rPr>
          <w:rFonts w:ascii="Times New Roman"/>
          <w:b w:val="false"/>
          <w:i w:val="false"/>
          <w:color w:val="000000"/>
          <w:sz w:val="28"/>
        </w:rPr>
        <w:t>
      тип заемщика и (или) контрагентов, их финансовое состояние;</w:t>
      </w:r>
    </w:p>
    <w:bookmarkEnd w:id="466"/>
    <w:bookmarkStart w:name="z488" w:id="467"/>
    <w:p>
      <w:pPr>
        <w:spacing w:after="0"/>
        <w:ind w:left="0"/>
        <w:jc w:val="both"/>
      </w:pPr>
      <w:r>
        <w:rPr>
          <w:rFonts w:ascii="Times New Roman"/>
          <w:b w:val="false"/>
          <w:i w:val="false"/>
          <w:color w:val="000000"/>
          <w:sz w:val="28"/>
        </w:rPr>
        <w:t>
      сложность и степень риска, присущего тому или иному виду кредитования;</w:t>
      </w:r>
    </w:p>
    <w:bookmarkEnd w:id="467"/>
    <w:bookmarkStart w:name="z489" w:id="468"/>
    <w:p>
      <w:pPr>
        <w:spacing w:after="0"/>
        <w:ind w:left="0"/>
        <w:jc w:val="both"/>
      </w:pPr>
      <w:r>
        <w:rPr>
          <w:rFonts w:ascii="Times New Roman"/>
          <w:b w:val="false"/>
          <w:i w:val="false"/>
          <w:color w:val="000000"/>
          <w:sz w:val="28"/>
        </w:rPr>
        <w:t>
      3) банк осуществляет кредитную деятельность в соответствии с внутренними документами, регламентирующими совершение операций, которым присущ кредитный риск, который включает, но не ограничиваясь, следующее:</w:t>
      </w:r>
    </w:p>
    <w:bookmarkEnd w:id="468"/>
    <w:bookmarkStart w:name="z490" w:id="469"/>
    <w:p>
      <w:pPr>
        <w:spacing w:after="0"/>
        <w:ind w:left="0"/>
        <w:jc w:val="both"/>
      </w:pPr>
      <w:r>
        <w:rPr>
          <w:rFonts w:ascii="Times New Roman"/>
          <w:b w:val="false"/>
          <w:i w:val="false"/>
          <w:color w:val="000000"/>
          <w:sz w:val="28"/>
        </w:rPr>
        <w:t>
      условия предоставления кредитов физическим и юридическим лицам (в том числе лицам, связанным с банком особыми отношениями и работникам банка) по каждому виду кредитования, включая требования к потенциальным заемщикам и (или) контрагентам;</w:t>
      </w:r>
    </w:p>
    <w:bookmarkEnd w:id="469"/>
    <w:bookmarkStart w:name="z491" w:id="470"/>
    <w:p>
      <w:pPr>
        <w:spacing w:after="0"/>
        <w:ind w:left="0"/>
        <w:jc w:val="both"/>
      </w:pPr>
      <w:r>
        <w:rPr>
          <w:rFonts w:ascii="Times New Roman"/>
          <w:b w:val="false"/>
          <w:i w:val="false"/>
          <w:color w:val="000000"/>
          <w:sz w:val="28"/>
        </w:rPr>
        <w:t>
      требования к информации заемщика и (или) контрагента, в том числе финансовой и иной информации, необходимой для принятия решения о выдаче кредита;</w:t>
      </w:r>
    </w:p>
    <w:bookmarkEnd w:id="470"/>
    <w:bookmarkStart w:name="z492" w:id="471"/>
    <w:p>
      <w:pPr>
        <w:spacing w:after="0"/>
        <w:ind w:left="0"/>
        <w:jc w:val="both"/>
      </w:pPr>
      <w:r>
        <w:rPr>
          <w:rFonts w:ascii="Times New Roman"/>
          <w:b w:val="false"/>
          <w:i w:val="false"/>
          <w:color w:val="000000"/>
          <w:sz w:val="28"/>
        </w:rPr>
        <w:t>
      внутренний порядок корпоративного кредитования, предусматривающий анализ сектора кредитования, кредитную историю заемщика, а также рейтинговую систему на основе количественных и качественных факторов, позволяющих обеспечивать детализированную оценку качества кредитов;</w:t>
      </w:r>
    </w:p>
    <w:bookmarkEnd w:id="471"/>
    <w:bookmarkStart w:name="z493" w:id="472"/>
    <w:p>
      <w:pPr>
        <w:spacing w:after="0"/>
        <w:ind w:left="0"/>
        <w:jc w:val="both"/>
      </w:pPr>
      <w:r>
        <w:rPr>
          <w:rFonts w:ascii="Times New Roman"/>
          <w:b w:val="false"/>
          <w:i w:val="false"/>
          <w:color w:val="000000"/>
          <w:sz w:val="28"/>
        </w:rPr>
        <w:t>
      методологию кредитного скоринга или анализа платежеспособности и кредитоспособности заемщика, основанного на количественных и качественных характеристиках, и внутренний порядок его использования;</w:t>
      </w:r>
    </w:p>
    <w:bookmarkEnd w:id="472"/>
    <w:bookmarkStart w:name="z494" w:id="473"/>
    <w:p>
      <w:pPr>
        <w:spacing w:after="0"/>
        <w:ind w:left="0"/>
        <w:jc w:val="both"/>
      </w:pPr>
      <w:r>
        <w:rPr>
          <w:rFonts w:ascii="Times New Roman"/>
          <w:b w:val="false"/>
          <w:i w:val="false"/>
          <w:color w:val="000000"/>
          <w:sz w:val="28"/>
        </w:rPr>
        <w:t>
      установление минимального допустимого уровня рейтинга (при наличии), при котором выдается кредит;</w:t>
      </w:r>
    </w:p>
    <w:bookmarkEnd w:id="473"/>
    <w:bookmarkStart w:name="z495" w:id="474"/>
    <w:p>
      <w:pPr>
        <w:spacing w:after="0"/>
        <w:ind w:left="0"/>
        <w:jc w:val="both"/>
      </w:pPr>
      <w:r>
        <w:rPr>
          <w:rFonts w:ascii="Times New Roman"/>
          <w:b w:val="false"/>
          <w:i w:val="false"/>
          <w:color w:val="000000"/>
          <w:sz w:val="28"/>
        </w:rPr>
        <w:t>
      внутренний порядок и процедуры одобрения, утверждения, анализа и мониторинга отклонений от кредитной политики, стандартов, процедур, лимитов;</w:t>
      </w:r>
    </w:p>
    <w:bookmarkEnd w:id="474"/>
    <w:bookmarkStart w:name="z496" w:id="475"/>
    <w:p>
      <w:pPr>
        <w:spacing w:after="0"/>
        <w:ind w:left="0"/>
        <w:jc w:val="both"/>
      </w:pPr>
      <w:r>
        <w:rPr>
          <w:rFonts w:ascii="Times New Roman"/>
          <w:b w:val="false"/>
          <w:i w:val="false"/>
          <w:color w:val="000000"/>
          <w:sz w:val="28"/>
        </w:rPr>
        <w:t>
      установление лимитов кредитования и (или) ставок вознаграждения по кредитам с учетом анализа заемщиков, в том числе с учетом, при наличии, рейтингов и (или) скоринговой оценки заемщиков. Лимиты кредитования, в том числе по беззалоговым кредитам, устанавливаются по валютам, отраслям, категориям заемщиков (контрагентов) (финансовые организации, корпоративное, розничное кредитование), продуктам, группам связанных сторон и на одного заемщика;</w:t>
      </w:r>
    </w:p>
    <w:bookmarkEnd w:id="475"/>
    <w:bookmarkStart w:name="z497" w:id="476"/>
    <w:p>
      <w:pPr>
        <w:spacing w:after="0"/>
        <w:ind w:left="0"/>
        <w:jc w:val="both"/>
      </w:pPr>
      <w:r>
        <w:rPr>
          <w:rFonts w:ascii="Times New Roman"/>
          <w:b w:val="false"/>
          <w:i w:val="false"/>
          <w:color w:val="000000"/>
          <w:sz w:val="28"/>
        </w:rPr>
        <w:t>
      внутренний порядок рассмотрения, одобрения заявлений о выдаче кредитов, принятия решений о выдаче (отказе в выдаче), в том числе в отношении кредитования лиц, связанных с банком особыми отношениями;</w:t>
      </w:r>
    </w:p>
    <w:bookmarkEnd w:id="476"/>
    <w:bookmarkStart w:name="z498" w:id="477"/>
    <w:p>
      <w:pPr>
        <w:spacing w:after="0"/>
        <w:ind w:left="0"/>
        <w:jc w:val="both"/>
      </w:pPr>
      <w:r>
        <w:rPr>
          <w:rFonts w:ascii="Times New Roman"/>
          <w:b w:val="false"/>
          <w:i w:val="false"/>
          <w:color w:val="000000"/>
          <w:sz w:val="28"/>
        </w:rPr>
        <w:t>
      внутренний порядок в отношении залогового обеспечения, определяющий:</w:t>
      </w:r>
    </w:p>
    <w:bookmarkEnd w:id="477"/>
    <w:bookmarkStart w:name="z499" w:id="478"/>
    <w:p>
      <w:pPr>
        <w:spacing w:after="0"/>
        <w:ind w:left="0"/>
        <w:jc w:val="both"/>
      </w:pPr>
      <w:r>
        <w:rPr>
          <w:rFonts w:ascii="Times New Roman"/>
          <w:b w:val="false"/>
          <w:i w:val="false"/>
          <w:color w:val="000000"/>
          <w:sz w:val="28"/>
        </w:rPr>
        <w:t>
      виды залога и критерии их приемлемости;</w:t>
      </w:r>
    </w:p>
    <w:bookmarkEnd w:id="478"/>
    <w:bookmarkStart w:name="z500" w:id="479"/>
    <w:p>
      <w:pPr>
        <w:spacing w:after="0"/>
        <w:ind w:left="0"/>
        <w:jc w:val="both"/>
      </w:pPr>
      <w:r>
        <w:rPr>
          <w:rFonts w:ascii="Times New Roman"/>
          <w:b w:val="false"/>
          <w:i w:val="false"/>
          <w:color w:val="000000"/>
          <w:sz w:val="28"/>
        </w:rPr>
        <w:t>
      требования к структуре залога;</w:t>
      </w:r>
    </w:p>
    <w:bookmarkEnd w:id="479"/>
    <w:bookmarkStart w:name="z501" w:id="480"/>
    <w:p>
      <w:pPr>
        <w:spacing w:after="0"/>
        <w:ind w:left="0"/>
        <w:jc w:val="both"/>
      </w:pPr>
      <w:r>
        <w:rPr>
          <w:rFonts w:ascii="Times New Roman"/>
          <w:b w:val="false"/>
          <w:i w:val="false"/>
          <w:color w:val="000000"/>
          <w:sz w:val="28"/>
        </w:rPr>
        <w:t>
      лимиты по видам залога;</w:t>
      </w:r>
    </w:p>
    <w:bookmarkEnd w:id="480"/>
    <w:bookmarkStart w:name="z502" w:id="481"/>
    <w:p>
      <w:pPr>
        <w:spacing w:after="0"/>
        <w:ind w:left="0"/>
        <w:jc w:val="both"/>
      </w:pPr>
      <w:r>
        <w:rPr>
          <w:rFonts w:ascii="Times New Roman"/>
          <w:b w:val="false"/>
          <w:i w:val="false"/>
          <w:color w:val="000000"/>
          <w:sz w:val="28"/>
        </w:rPr>
        <w:t>
      долю высоколиквидного залога в общей структуре обеспечения, коэффициент, характеризующий отношение суммы займа к стоимости залога;</w:t>
      </w:r>
    </w:p>
    <w:bookmarkEnd w:id="481"/>
    <w:bookmarkStart w:name="z503" w:id="482"/>
    <w:p>
      <w:pPr>
        <w:spacing w:after="0"/>
        <w:ind w:left="0"/>
        <w:jc w:val="both"/>
      </w:pPr>
      <w:r>
        <w:rPr>
          <w:rFonts w:ascii="Times New Roman"/>
          <w:b w:val="false"/>
          <w:i w:val="false"/>
          <w:color w:val="000000"/>
          <w:sz w:val="28"/>
        </w:rPr>
        <w:t>
      процедуры, обеспечивающие юридическую силу залогов;</w:t>
      </w:r>
    </w:p>
    <w:bookmarkEnd w:id="482"/>
    <w:bookmarkStart w:name="z504" w:id="483"/>
    <w:p>
      <w:pPr>
        <w:spacing w:after="0"/>
        <w:ind w:left="0"/>
        <w:jc w:val="both"/>
      </w:pPr>
      <w:r>
        <w:rPr>
          <w:rFonts w:ascii="Times New Roman"/>
          <w:b w:val="false"/>
          <w:i w:val="false"/>
          <w:color w:val="000000"/>
          <w:sz w:val="28"/>
        </w:rPr>
        <w:t>
      оперативную оценку достаточности залогового обеспечения, с учетом изменения показателей производственной деятельности заемщика, стоимости и сохранности обеспечения, в том числе, его подверженности иным обстоятельствам, существенно влияющим на его оценку;</w:t>
      </w:r>
    </w:p>
    <w:bookmarkEnd w:id="483"/>
    <w:bookmarkStart w:name="z505" w:id="484"/>
    <w:p>
      <w:pPr>
        <w:spacing w:after="0"/>
        <w:ind w:left="0"/>
        <w:jc w:val="both"/>
      </w:pPr>
      <w:r>
        <w:rPr>
          <w:rFonts w:ascii="Times New Roman"/>
          <w:b w:val="false"/>
          <w:i w:val="false"/>
          <w:color w:val="000000"/>
          <w:sz w:val="28"/>
        </w:rPr>
        <w:t>
      процедуры реализации залогового обеспечения, включая предельные сроки реализации;</w:t>
      </w:r>
    </w:p>
    <w:bookmarkEnd w:id="484"/>
    <w:bookmarkStart w:name="z506" w:id="485"/>
    <w:p>
      <w:pPr>
        <w:spacing w:after="0"/>
        <w:ind w:left="0"/>
        <w:jc w:val="both"/>
      </w:pPr>
      <w:r>
        <w:rPr>
          <w:rFonts w:ascii="Times New Roman"/>
          <w:b w:val="false"/>
          <w:i w:val="false"/>
          <w:color w:val="000000"/>
          <w:sz w:val="28"/>
        </w:rPr>
        <w:t>
      объективность (адекватность) оценки стоимости залогового обеспечения со стороны оценщиков.</w:t>
      </w:r>
    </w:p>
    <w:bookmarkEnd w:id="485"/>
    <w:bookmarkStart w:name="z507" w:id="486"/>
    <w:p>
      <w:pPr>
        <w:spacing w:after="0"/>
        <w:ind w:left="0"/>
        <w:jc w:val="both"/>
      </w:pPr>
      <w:r>
        <w:rPr>
          <w:rFonts w:ascii="Times New Roman"/>
          <w:b w:val="false"/>
          <w:i w:val="false"/>
          <w:color w:val="000000"/>
          <w:sz w:val="28"/>
        </w:rPr>
        <w:t>
      Банк при принятии решения о выдаче займа, залогом по которому выступает недвижимое имущество и нематериальные активы (права недропользования), рассматривает результаты оценки. В случае, когда рыночная стоимость, определенная на дату последней оценки оценщиком, составляет более 100 000 (ста тысяч) месячных расчетных показателей, для прав недропользования более 500 000 (пяти ста тысяч) месячных расчетных показателей, банк обеспечивает (не реже 1 (одного) раза в год) проведение оценки залога оценщиком.</w:t>
      </w:r>
    </w:p>
    <w:bookmarkEnd w:id="486"/>
    <w:bookmarkStart w:name="z508" w:id="487"/>
    <w:p>
      <w:pPr>
        <w:spacing w:after="0"/>
        <w:ind w:left="0"/>
        <w:jc w:val="both"/>
      </w:pPr>
      <w:r>
        <w:rPr>
          <w:rFonts w:ascii="Times New Roman"/>
          <w:b w:val="false"/>
          <w:i w:val="false"/>
          <w:color w:val="000000"/>
          <w:sz w:val="28"/>
        </w:rPr>
        <w:t>
      Внутренний порядок оценки объективности (адекватности) оценки стоимости залогового обеспечения со стороны работников банка обеспечивает, но не ограничиваясь, использование корректных подходов к оценке, включая четкую формализацию требований к допустимым подходам к оценке при формировании внутренней оценки банка, а именно:</w:t>
      </w:r>
    </w:p>
    <w:bookmarkEnd w:id="487"/>
    <w:bookmarkStart w:name="z509" w:id="488"/>
    <w:p>
      <w:pPr>
        <w:spacing w:after="0"/>
        <w:ind w:left="0"/>
        <w:jc w:val="both"/>
      </w:pPr>
      <w:r>
        <w:rPr>
          <w:rFonts w:ascii="Times New Roman"/>
          <w:b w:val="false"/>
          <w:i w:val="false"/>
          <w:color w:val="000000"/>
          <w:sz w:val="28"/>
        </w:rPr>
        <w:t>
      в рамках доходного подхода при отрицательных операционных денежных потоках или отрицательном значении EBITDA (прибыль до вычета расходов по выплате процентов, налогов, износа и начисленной амортизации) по объекту за последние 4 (четыре) квартала либо за завершившийся календарный год не допускается применение подхода на основе дисконтированных денежных потоков. Данное требование не распространяется на случаи:</w:t>
      </w:r>
    </w:p>
    <w:bookmarkEnd w:id="488"/>
    <w:bookmarkStart w:name="z510" w:id="489"/>
    <w:p>
      <w:pPr>
        <w:spacing w:after="0"/>
        <w:ind w:left="0"/>
        <w:jc w:val="both"/>
      </w:pPr>
      <w:r>
        <w:rPr>
          <w:rFonts w:ascii="Times New Roman"/>
          <w:b w:val="false"/>
          <w:i w:val="false"/>
          <w:color w:val="000000"/>
          <w:sz w:val="28"/>
        </w:rPr>
        <w:t>
      оценки компании в инвестиционной стадии, а также если на балансе оцениваемой компании имеются активы, в том числе контракты, способные генерировать денежный поток;</w:t>
      </w:r>
    </w:p>
    <w:bookmarkEnd w:id="489"/>
    <w:bookmarkStart w:name="z511" w:id="490"/>
    <w:p>
      <w:pPr>
        <w:spacing w:after="0"/>
        <w:ind w:left="0"/>
        <w:jc w:val="both"/>
      </w:pPr>
      <w:r>
        <w:rPr>
          <w:rFonts w:ascii="Times New Roman"/>
          <w:b w:val="false"/>
          <w:i w:val="false"/>
          <w:color w:val="000000"/>
          <w:sz w:val="28"/>
        </w:rPr>
        <w:t>
      оценки объектов, способных генерировать денежный поток при наличии подтверждающей информаций или рыночных данных.</w:t>
      </w:r>
    </w:p>
    <w:bookmarkEnd w:id="490"/>
    <w:bookmarkStart w:name="z512" w:id="491"/>
    <w:p>
      <w:pPr>
        <w:spacing w:after="0"/>
        <w:ind w:left="0"/>
        <w:jc w:val="both"/>
      </w:pPr>
      <w:r>
        <w:rPr>
          <w:rFonts w:ascii="Times New Roman"/>
          <w:b w:val="false"/>
          <w:i w:val="false"/>
          <w:color w:val="000000"/>
          <w:sz w:val="28"/>
        </w:rPr>
        <w:t>
      В рамках доходного подхода при расчете стоимости объекта используется ставка дисконтирования, соответствующая уровню риска объекта оценки, расчет которой устанавливается во внутренних документах банка.</w:t>
      </w:r>
    </w:p>
    <w:bookmarkEnd w:id="491"/>
    <w:bookmarkStart w:name="z513" w:id="492"/>
    <w:p>
      <w:pPr>
        <w:spacing w:after="0"/>
        <w:ind w:left="0"/>
        <w:jc w:val="both"/>
      </w:pPr>
      <w:r>
        <w:rPr>
          <w:rFonts w:ascii="Times New Roman"/>
          <w:b w:val="false"/>
          <w:i w:val="false"/>
          <w:color w:val="000000"/>
          <w:sz w:val="28"/>
        </w:rPr>
        <w:t>
      В рамках сравнительного подхода при расчете стоимости объекта используются информация об имеющихся на рынке наиболее актуальных сделках и (или) предложения о продаже объектов, сопоставимых с объектом оценки, а в случае их отсутствия применяются надлежащие корректировки.</w:t>
      </w:r>
    </w:p>
    <w:bookmarkEnd w:id="492"/>
    <w:bookmarkStart w:name="z514" w:id="493"/>
    <w:p>
      <w:pPr>
        <w:spacing w:after="0"/>
        <w:ind w:left="0"/>
        <w:jc w:val="both"/>
      </w:pPr>
      <w:r>
        <w:rPr>
          <w:rFonts w:ascii="Times New Roman"/>
          <w:b w:val="false"/>
          <w:i w:val="false"/>
          <w:color w:val="000000"/>
          <w:sz w:val="28"/>
        </w:rPr>
        <w:t>
      Внутренний порядок оценки объективности (адекватности) оценки стоимости залогового обеспечения со стороны работников банка обеспечивает, но не ограничиваясь, четкую формализацию требований к перечню аналогов и критериям признания их сопоставимыми в разрезе:</w:t>
      </w:r>
    </w:p>
    <w:bookmarkEnd w:id="493"/>
    <w:bookmarkStart w:name="z515" w:id="494"/>
    <w:p>
      <w:pPr>
        <w:spacing w:after="0"/>
        <w:ind w:left="0"/>
        <w:jc w:val="both"/>
      </w:pPr>
      <w:r>
        <w:rPr>
          <w:rFonts w:ascii="Times New Roman"/>
          <w:b w:val="false"/>
          <w:i w:val="false"/>
          <w:color w:val="000000"/>
          <w:sz w:val="28"/>
        </w:rPr>
        <w:t>
      типа и (или) подтипа объекта;</w:t>
      </w:r>
    </w:p>
    <w:bookmarkEnd w:id="494"/>
    <w:bookmarkStart w:name="z516" w:id="495"/>
    <w:p>
      <w:pPr>
        <w:spacing w:after="0"/>
        <w:ind w:left="0"/>
        <w:jc w:val="both"/>
      </w:pPr>
      <w:r>
        <w:rPr>
          <w:rFonts w:ascii="Times New Roman"/>
          <w:b w:val="false"/>
          <w:i w:val="false"/>
          <w:color w:val="000000"/>
          <w:sz w:val="28"/>
        </w:rPr>
        <w:t>
      местоположения объекта;</w:t>
      </w:r>
    </w:p>
    <w:bookmarkEnd w:id="495"/>
    <w:bookmarkStart w:name="z517" w:id="496"/>
    <w:p>
      <w:pPr>
        <w:spacing w:after="0"/>
        <w:ind w:left="0"/>
        <w:jc w:val="both"/>
      </w:pPr>
      <w:r>
        <w:rPr>
          <w:rFonts w:ascii="Times New Roman"/>
          <w:b w:val="false"/>
          <w:i w:val="false"/>
          <w:color w:val="000000"/>
          <w:sz w:val="28"/>
        </w:rPr>
        <w:t>
      общей площади объекта;</w:t>
      </w:r>
    </w:p>
    <w:bookmarkEnd w:id="496"/>
    <w:bookmarkStart w:name="z518" w:id="497"/>
    <w:p>
      <w:pPr>
        <w:spacing w:after="0"/>
        <w:ind w:left="0"/>
        <w:jc w:val="both"/>
      </w:pPr>
      <w:r>
        <w:rPr>
          <w:rFonts w:ascii="Times New Roman"/>
          <w:b w:val="false"/>
          <w:i w:val="false"/>
          <w:color w:val="000000"/>
          <w:sz w:val="28"/>
        </w:rPr>
        <w:t>
      состояния помещений, внешнего состояния объекта оценки;</w:t>
      </w:r>
    </w:p>
    <w:bookmarkEnd w:id="497"/>
    <w:bookmarkStart w:name="z519" w:id="498"/>
    <w:p>
      <w:pPr>
        <w:spacing w:after="0"/>
        <w:ind w:left="0"/>
        <w:jc w:val="both"/>
      </w:pPr>
      <w:r>
        <w:rPr>
          <w:rFonts w:ascii="Times New Roman"/>
          <w:b w:val="false"/>
          <w:i w:val="false"/>
          <w:color w:val="000000"/>
          <w:sz w:val="28"/>
        </w:rPr>
        <w:t>
      целевого назначения объекта;</w:t>
      </w:r>
    </w:p>
    <w:bookmarkEnd w:id="498"/>
    <w:bookmarkStart w:name="z520" w:id="499"/>
    <w:p>
      <w:pPr>
        <w:spacing w:after="0"/>
        <w:ind w:left="0"/>
        <w:jc w:val="both"/>
      </w:pPr>
      <w:r>
        <w:rPr>
          <w:rFonts w:ascii="Times New Roman"/>
          <w:b w:val="false"/>
          <w:i w:val="false"/>
          <w:color w:val="000000"/>
          <w:sz w:val="28"/>
        </w:rPr>
        <w:t>
      иных технических характеристик объекта.</w:t>
      </w:r>
    </w:p>
    <w:bookmarkEnd w:id="499"/>
    <w:bookmarkStart w:name="z521" w:id="500"/>
    <w:p>
      <w:pPr>
        <w:spacing w:after="0"/>
        <w:ind w:left="0"/>
        <w:jc w:val="both"/>
      </w:pPr>
      <w:r>
        <w:rPr>
          <w:rFonts w:ascii="Times New Roman"/>
          <w:b w:val="false"/>
          <w:i w:val="false"/>
          <w:color w:val="000000"/>
          <w:sz w:val="28"/>
        </w:rPr>
        <w:t xml:space="preserve">
      Оценка принятых решений на предмет соответствия установленному внутреннему порядку проводится в соответствии с требованиями </w:t>
      </w:r>
      <w:r>
        <w:rPr>
          <w:rFonts w:ascii="Times New Roman"/>
          <w:b w:val="false"/>
          <w:i w:val="false"/>
          <w:color w:val="000000"/>
          <w:sz w:val="28"/>
        </w:rPr>
        <w:t>главы 11</w:t>
      </w:r>
      <w:r>
        <w:rPr>
          <w:rFonts w:ascii="Times New Roman"/>
          <w:b w:val="false"/>
          <w:i w:val="false"/>
          <w:color w:val="000000"/>
          <w:sz w:val="28"/>
        </w:rPr>
        <w:t xml:space="preserve"> Правил. В случае обнаружения отклонений от установленного внутреннего порядка, заинтересованные подразделения доводят информацию о выявленных отклонениях уполномоченному коллегиальному органу банка. В целях исключения существенных отклонений в деятельности банка уполномоченный коллегиальный орган банка устанавливает ограничения на объем (сумма займа) и (или) на количество отклонений и осуществляет контроль над соблюдением установленных ограничений;</w:t>
      </w:r>
    </w:p>
    <w:bookmarkEnd w:id="500"/>
    <w:bookmarkStart w:name="z522" w:id="501"/>
    <w:p>
      <w:pPr>
        <w:spacing w:after="0"/>
        <w:ind w:left="0"/>
        <w:jc w:val="both"/>
      </w:pPr>
      <w:r>
        <w:rPr>
          <w:rFonts w:ascii="Times New Roman"/>
          <w:b w:val="false"/>
          <w:i w:val="false"/>
          <w:color w:val="000000"/>
          <w:sz w:val="28"/>
        </w:rPr>
        <w:t>
      Банк обеспечивает:</w:t>
      </w:r>
    </w:p>
    <w:bookmarkEnd w:id="501"/>
    <w:bookmarkStart w:name="z523" w:id="502"/>
    <w:p>
      <w:pPr>
        <w:spacing w:after="0"/>
        <w:ind w:left="0"/>
        <w:jc w:val="both"/>
      </w:pPr>
      <w:r>
        <w:rPr>
          <w:rFonts w:ascii="Times New Roman"/>
          <w:b w:val="false"/>
          <w:i w:val="false"/>
          <w:color w:val="000000"/>
          <w:sz w:val="28"/>
        </w:rPr>
        <w:t>
      хранение во внутренних системах банка не менее 5 (пяти) лет после погашения займа и (или) внебалансового обязательства и (или) после того, как заемщик перестал являться клиентом банка данных по залоговому обеспечению на балансе банка, включая оценку его стоимости;</w:t>
      </w:r>
    </w:p>
    <w:bookmarkEnd w:id="502"/>
    <w:bookmarkStart w:name="z524" w:id="503"/>
    <w:p>
      <w:pPr>
        <w:spacing w:after="0"/>
        <w:ind w:left="0"/>
        <w:jc w:val="both"/>
      </w:pPr>
      <w:r>
        <w:rPr>
          <w:rFonts w:ascii="Times New Roman"/>
          <w:b w:val="false"/>
          <w:i w:val="false"/>
          <w:color w:val="000000"/>
          <w:sz w:val="28"/>
        </w:rPr>
        <w:t>
      своевременное обновление данных по залоговому обеспечению в соответствии с внутренними документами банка и автоматический перенос данных в модули, отвечающие за расчет риск-метрик (PD, LGD, EAD), провизий и капитала, а также в модули, отвечающие за автоматическое формирование управленческой, финансовой и регуляторной отчетности;</w:t>
      </w:r>
    </w:p>
    <w:bookmarkEnd w:id="503"/>
    <w:bookmarkStart w:name="z525" w:id="504"/>
    <w:p>
      <w:pPr>
        <w:spacing w:after="0"/>
        <w:ind w:left="0"/>
        <w:jc w:val="both"/>
      </w:pPr>
      <w:r>
        <w:rPr>
          <w:rFonts w:ascii="Times New Roman"/>
          <w:b w:val="false"/>
          <w:i w:val="false"/>
          <w:color w:val="000000"/>
          <w:sz w:val="28"/>
        </w:rPr>
        <w:t>
      автоматическое фиксирование и хранение данных о любых ручных корректировках данных по залоговому обеспечению, включая первичных данных до применения ручных корректировок, данных о лицах, ответственных за применение ручных корректировок.</w:t>
      </w:r>
    </w:p>
    <w:bookmarkEnd w:id="504"/>
    <w:bookmarkStart w:name="z526" w:id="505"/>
    <w:p>
      <w:pPr>
        <w:spacing w:after="0"/>
        <w:ind w:left="0"/>
        <w:jc w:val="both"/>
      </w:pPr>
      <w:r>
        <w:rPr>
          <w:rFonts w:ascii="Times New Roman"/>
          <w:b w:val="false"/>
          <w:i w:val="false"/>
          <w:color w:val="000000"/>
          <w:sz w:val="28"/>
        </w:rPr>
        <w:t>
      Данные по залоговому обеспечению, подлежащие хранению, включают (но не ограничиваясь):</w:t>
      </w:r>
    </w:p>
    <w:bookmarkEnd w:id="505"/>
    <w:bookmarkStart w:name="z527" w:id="506"/>
    <w:p>
      <w:pPr>
        <w:spacing w:after="0"/>
        <w:ind w:left="0"/>
        <w:jc w:val="both"/>
      </w:pPr>
      <w:r>
        <w:rPr>
          <w:rFonts w:ascii="Times New Roman"/>
          <w:b w:val="false"/>
          <w:i w:val="false"/>
          <w:color w:val="000000"/>
          <w:sz w:val="28"/>
        </w:rPr>
        <w:t>
      привязку к внутреннему уникальному идентификатору объекта оценки, бизнес-идентификационному номеру (далее – БИН) или индивидуальному идентификационному номеру (далее – ИИН) и внутренним уникальным идентификаторам (если они отличаются от БИН или ИИН) залогодателя, заемщика, созаемщиков и гарантов и четкое отображение идентификатора групп связанных заемщиков и всех БИН или ИИН связанных заемщиков;</w:t>
      </w:r>
    </w:p>
    <w:bookmarkEnd w:id="506"/>
    <w:bookmarkStart w:name="z528" w:id="507"/>
    <w:p>
      <w:pPr>
        <w:spacing w:after="0"/>
        <w:ind w:left="0"/>
        <w:jc w:val="both"/>
      </w:pPr>
      <w:r>
        <w:rPr>
          <w:rFonts w:ascii="Times New Roman"/>
          <w:b w:val="false"/>
          <w:i w:val="false"/>
          <w:color w:val="000000"/>
          <w:sz w:val="28"/>
        </w:rPr>
        <w:t>
      тип и подтип залогового обеспечения;</w:t>
      </w:r>
    </w:p>
    <w:bookmarkEnd w:id="507"/>
    <w:bookmarkStart w:name="z529" w:id="508"/>
    <w:p>
      <w:pPr>
        <w:spacing w:after="0"/>
        <w:ind w:left="0"/>
        <w:jc w:val="both"/>
      </w:pPr>
      <w:r>
        <w:rPr>
          <w:rFonts w:ascii="Times New Roman"/>
          <w:b w:val="false"/>
          <w:i w:val="false"/>
          <w:color w:val="000000"/>
          <w:sz w:val="28"/>
        </w:rPr>
        <w:t>
      кадастровый номер объекта оценки (если применимо);</w:t>
      </w:r>
    </w:p>
    <w:bookmarkEnd w:id="508"/>
    <w:bookmarkStart w:name="z530" w:id="509"/>
    <w:p>
      <w:pPr>
        <w:spacing w:after="0"/>
        <w:ind w:left="0"/>
        <w:jc w:val="both"/>
      </w:pPr>
      <w:r>
        <w:rPr>
          <w:rFonts w:ascii="Times New Roman"/>
          <w:b w:val="false"/>
          <w:i w:val="false"/>
          <w:color w:val="000000"/>
          <w:sz w:val="28"/>
        </w:rPr>
        <w:t>
      местонахождение объекта оценки (страна, регион, адрес);</w:t>
      </w:r>
    </w:p>
    <w:bookmarkEnd w:id="509"/>
    <w:bookmarkStart w:name="z531" w:id="510"/>
    <w:p>
      <w:pPr>
        <w:spacing w:after="0"/>
        <w:ind w:left="0"/>
        <w:jc w:val="both"/>
      </w:pPr>
      <w:r>
        <w:rPr>
          <w:rFonts w:ascii="Times New Roman"/>
          <w:b w:val="false"/>
          <w:i w:val="false"/>
          <w:color w:val="000000"/>
          <w:sz w:val="28"/>
        </w:rPr>
        <w:t>
      дата прекращения договора залога в системе банка;</w:t>
      </w:r>
    </w:p>
    <w:bookmarkEnd w:id="510"/>
    <w:bookmarkStart w:name="z532" w:id="511"/>
    <w:p>
      <w:pPr>
        <w:spacing w:after="0"/>
        <w:ind w:left="0"/>
        <w:jc w:val="both"/>
      </w:pPr>
      <w:r>
        <w:rPr>
          <w:rFonts w:ascii="Times New Roman"/>
          <w:b w:val="false"/>
          <w:i w:val="false"/>
          <w:color w:val="000000"/>
          <w:sz w:val="28"/>
        </w:rPr>
        <w:t>
      рыночную стоимость до применения дисконтов к залоговому обеспечению;</w:t>
      </w:r>
    </w:p>
    <w:bookmarkEnd w:id="511"/>
    <w:bookmarkStart w:name="z533" w:id="512"/>
    <w:p>
      <w:pPr>
        <w:spacing w:after="0"/>
        <w:ind w:left="0"/>
        <w:jc w:val="both"/>
      </w:pPr>
      <w:r>
        <w:rPr>
          <w:rFonts w:ascii="Times New Roman"/>
          <w:b w:val="false"/>
          <w:i w:val="false"/>
          <w:color w:val="000000"/>
          <w:sz w:val="28"/>
        </w:rPr>
        <w:t>
      дату проведения оценки (переоценки) залогового обеспечения;</w:t>
      </w:r>
    </w:p>
    <w:bookmarkEnd w:id="512"/>
    <w:bookmarkStart w:name="z534" w:id="513"/>
    <w:p>
      <w:pPr>
        <w:spacing w:after="0"/>
        <w:ind w:left="0"/>
        <w:jc w:val="both"/>
      </w:pPr>
      <w:r>
        <w:rPr>
          <w:rFonts w:ascii="Times New Roman"/>
          <w:b w:val="false"/>
          <w:i w:val="false"/>
          <w:color w:val="000000"/>
          <w:sz w:val="28"/>
        </w:rPr>
        <w:t xml:space="preserve">
      примененные дисконты за период не менее 5 (пяти) лет по каждому объекту оценки, в том числе по текущим объектам залога и недвижимости на балансе банка, а также по всем реализованным банком объектам оценки. Среди дисконтов обеспечивается хранение информации о вероятности взыскания и (или) вероятности реализации, ожидаемом сроке до продажи, примененных ставке дисконтирования и индексах, ожидаемых расходах на продажу, значениях дисконта в случае неприменения коэффициентов ликвидности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зарегистрированным в Реестре государственной регистрации нормативных правовых актов под № 16502;</w:t>
      </w:r>
    </w:p>
    <w:bookmarkEnd w:id="513"/>
    <w:bookmarkStart w:name="z535" w:id="514"/>
    <w:p>
      <w:pPr>
        <w:spacing w:after="0"/>
        <w:ind w:left="0"/>
        <w:jc w:val="both"/>
      </w:pPr>
      <w:r>
        <w:rPr>
          <w:rFonts w:ascii="Times New Roman"/>
          <w:b w:val="false"/>
          <w:i w:val="false"/>
          <w:color w:val="000000"/>
          <w:sz w:val="28"/>
        </w:rPr>
        <w:t>
      рыночную стоимость после учета всех дисконтов, в том числе в эквиваленте в национальной валюте;</w:t>
      </w:r>
    </w:p>
    <w:bookmarkEnd w:id="514"/>
    <w:bookmarkStart w:name="z536" w:id="515"/>
    <w:p>
      <w:pPr>
        <w:spacing w:after="0"/>
        <w:ind w:left="0"/>
        <w:jc w:val="both"/>
      </w:pPr>
      <w:r>
        <w:rPr>
          <w:rFonts w:ascii="Times New Roman"/>
          <w:b w:val="false"/>
          <w:i w:val="false"/>
          <w:color w:val="000000"/>
          <w:sz w:val="28"/>
        </w:rPr>
        <w:t>
      стоимость залогового обеспечения, используемая при расчете провизий;</w:t>
      </w:r>
    </w:p>
    <w:bookmarkEnd w:id="515"/>
    <w:bookmarkStart w:name="z537" w:id="516"/>
    <w:p>
      <w:pPr>
        <w:spacing w:after="0"/>
        <w:ind w:left="0"/>
        <w:jc w:val="both"/>
      </w:pPr>
      <w:r>
        <w:rPr>
          <w:rFonts w:ascii="Times New Roman"/>
          <w:b w:val="false"/>
          <w:i w:val="false"/>
          <w:color w:val="000000"/>
          <w:sz w:val="28"/>
        </w:rPr>
        <w:t>
      флаг обременения объекта оценки;</w:t>
      </w:r>
    </w:p>
    <w:bookmarkEnd w:id="516"/>
    <w:bookmarkStart w:name="z538" w:id="517"/>
    <w:p>
      <w:pPr>
        <w:spacing w:after="0"/>
        <w:ind w:left="0"/>
        <w:jc w:val="both"/>
      </w:pPr>
      <w:r>
        <w:rPr>
          <w:rFonts w:ascii="Times New Roman"/>
          <w:b w:val="false"/>
          <w:i w:val="false"/>
          <w:color w:val="000000"/>
          <w:sz w:val="28"/>
        </w:rPr>
        <w:t>
      очередность обременения объекта оценки;</w:t>
      </w:r>
    </w:p>
    <w:bookmarkEnd w:id="517"/>
    <w:bookmarkStart w:name="z539" w:id="518"/>
    <w:p>
      <w:pPr>
        <w:spacing w:after="0"/>
        <w:ind w:left="0"/>
        <w:jc w:val="both"/>
      </w:pPr>
      <w:r>
        <w:rPr>
          <w:rFonts w:ascii="Times New Roman"/>
          <w:b w:val="false"/>
          <w:i w:val="false"/>
          <w:color w:val="000000"/>
          <w:sz w:val="28"/>
        </w:rPr>
        <w:t>
      сведения о залогодателе, гаранте, поручителе, страховщике (юридическое или физическое лицо, наименование, уникальный идентификатор);</w:t>
      </w:r>
    </w:p>
    <w:bookmarkEnd w:id="518"/>
    <w:bookmarkStart w:name="z540" w:id="519"/>
    <w:p>
      <w:pPr>
        <w:spacing w:after="0"/>
        <w:ind w:left="0"/>
        <w:jc w:val="both"/>
      </w:pPr>
      <w:r>
        <w:rPr>
          <w:rFonts w:ascii="Times New Roman"/>
          <w:b w:val="false"/>
          <w:i w:val="false"/>
          <w:color w:val="000000"/>
          <w:sz w:val="28"/>
        </w:rPr>
        <w:t>
      дату подтверждения наличия обременения объекта оценки;</w:t>
      </w:r>
    </w:p>
    <w:bookmarkEnd w:id="519"/>
    <w:bookmarkStart w:name="z541" w:id="520"/>
    <w:p>
      <w:pPr>
        <w:spacing w:after="0"/>
        <w:ind w:left="0"/>
        <w:jc w:val="both"/>
      </w:pPr>
      <w:r>
        <w:rPr>
          <w:rFonts w:ascii="Times New Roman"/>
          <w:b w:val="false"/>
          <w:i w:val="false"/>
          <w:color w:val="000000"/>
          <w:sz w:val="28"/>
        </w:rPr>
        <w:t>
      старшинство прав требования банка по объекту оценки на уровне заемщика или займа;</w:t>
      </w:r>
    </w:p>
    <w:bookmarkEnd w:id="520"/>
    <w:bookmarkStart w:name="z542" w:id="521"/>
    <w:p>
      <w:pPr>
        <w:spacing w:after="0"/>
        <w:ind w:left="0"/>
        <w:jc w:val="both"/>
      </w:pPr>
      <w:r>
        <w:rPr>
          <w:rFonts w:ascii="Times New Roman"/>
          <w:b w:val="false"/>
          <w:i w:val="false"/>
          <w:color w:val="000000"/>
          <w:sz w:val="28"/>
        </w:rPr>
        <w:t>
      аллоцированную стоимость обеспечения для залогов на уровне заемщика и займа (с указанием доли залогового имущества на каждого заемщика со ссылкой на их уникальные идентификаторы);</w:t>
      </w:r>
    </w:p>
    <w:bookmarkEnd w:id="521"/>
    <w:bookmarkStart w:name="z543" w:id="522"/>
    <w:p>
      <w:pPr>
        <w:spacing w:after="0"/>
        <w:ind w:left="0"/>
        <w:jc w:val="both"/>
      </w:pPr>
      <w:r>
        <w:rPr>
          <w:rFonts w:ascii="Times New Roman"/>
          <w:b w:val="false"/>
          <w:i w:val="false"/>
          <w:color w:val="000000"/>
          <w:sz w:val="28"/>
        </w:rPr>
        <w:t>
      подход к оценке залогового обеспечения;</w:t>
      </w:r>
    </w:p>
    <w:bookmarkEnd w:id="522"/>
    <w:bookmarkStart w:name="z544" w:id="523"/>
    <w:p>
      <w:pPr>
        <w:spacing w:after="0"/>
        <w:ind w:left="0"/>
        <w:jc w:val="both"/>
      </w:pPr>
      <w:r>
        <w:rPr>
          <w:rFonts w:ascii="Times New Roman"/>
          <w:b w:val="false"/>
          <w:i w:val="false"/>
          <w:color w:val="000000"/>
          <w:sz w:val="28"/>
        </w:rPr>
        <w:t>
      используемую единицу площади;</w:t>
      </w:r>
    </w:p>
    <w:bookmarkEnd w:id="523"/>
    <w:bookmarkStart w:name="z545" w:id="524"/>
    <w:p>
      <w:pPr>
        <w:spacing w:after="0"/>
        <w:ind w:left="0"/>
        <w:jc w:val="both"/>
      </w:pPr>
      <w:r>
        <w:rPr>
          <w:rFonts w:ascii="Times New Roman"/>
          <w:b w:val="false"/>
          <w:i w:val="false"/>
          <w:color w:val="000000"/>
          <w:sz w:val="28"/>
        </w:rPr>
        <w:t>
      общую, используемую площадь объекта оценки (если применимо);</w:t>
      </w:r>
    </w:p>
    <w:bookmarkEnd w:id="524"/>
    <w:bookmarkStart w:name="z546" w:id="525"/>
    <w:p>
      <w:pPr>
        <w:spacing w:after="0"/>
        <w:ind w:left="0"/>
        <w:jc w:val="both"/>
      </w:pPr>
      <w:r>
        <w:rPr>
          <w:rFonts w:ascii="Times New Roman"/>
          <w:b w:val="false"/>
          <w:i w:val="false"/>
          <w:color w:val="000000"/>
          <w:sz w:val="28"/>
        </w:rPr>
        <w:t>
      долю площади, сдаваемой в аренду на дату оценки (если применимо);</w:t>
      </w:r>
    </w:p>
    <w:bookmarkEnd w:id="525"/>
    <w:bookmarkStart w:name="z547" w:id="526"/>
    <w:p>
      <w:pPr>
        <w:spacing w:after="0"/>
        <w:ind w:left="0"/>
        <w:jc w:val="both"/>
      </w:pPr>
      <w:r>
        <w:rPr>
          <w:rFonts w:ascii="Times New Roman"/>
          <w:b w:val="false"/>
          <w:i w:val="false"/>
          <w:color w:val="000000"/>
          <w:sz w:val="28"/>
        </w:rPr>
        <w:t>
      долю площади, потенциально доступной для сдачи в аренду (если применимо);</w:t>
      </w:r>
    </w:p>
    <w:bookmarkEnd w:id="526"/>
    <w:bookmarkStart w:name="z548" w:id="527"/>
    <w:p>
      <w:pPr>
        <w:spacing w:after="0"/>
        <w:ind w:left="0"/>
        <w:jc w:val="both"/>
      </w:pPr>
      <w:r>
        <w:rPr>
          <w:rFonts w:ascii="Times New Roman"/>
          <w:b w:val="false"/>
          <w:i w:val="false"/>
          <w:color w:val="000000"/>
          <w:sz w:val="28"/>
        </w:rPr>
        <w:t>
      4) наличие адекватной рейтинговой модели и (или) скоринговой системы.</w:t>
      </w:r>
    </w:p>
    <w:bookmarkEnd w:id="527"/>
    <w:bookmarkStart w:name="z549" w:id="528"/>
    <w:p>
      <w:pPr>
        <w:spacing w:after="0"/>
        <w:ind w:left="0"/>
        <w:jc w:val="both"/>
      </w:pPr>
      <w:r>
        <w:rPr>
          <w:rFonts w:ascii="Times New Roman"/>
          <w:b w:val="false"/>
          <w:i w:val="false"/>
          <w:color w:val="000000"/>
          <w:sz w:val="28"/>
        </w:rPr>
        <w:t>
      Совет директоров банка определяет ответственные подразделения за разработку рейтинговой модели и (или) скоринговой системы, их внедрение, применение и контроль их функционирования. Рейтинговая модель и (или) скоринговая система содержат описание каждого уровня кредитного риска и условия их присвоения. В процессе присвоения кредитного рейтинга заемщика и (или) скорингового балла банк учитывает финансовое состояние заемщика (заемщиков) и иную доступную информацию по заемщику.</w:t>
      </w:r>
    </w:p>
    <w:bookmarkEnd w:id="528"/>
    <w:bookmarkStart w:name="z550" w:id="529"/>
    <w:p>
      <w:pPr>
        <w:spacing w:after="0"/>
        <w:ind w:left="0"/>
        <w:jc w:val="both"/>
      </w:pPr>
      <w:r>
        <w:rPr>
          <w:rFonts w:ascii="Times New Roman"/>
          <w:b w:val="false"/>
          <w:i w:val="false"/>
          <w:color w:val="000000"/>
          <w:sz w:val="28"/>
        </w:rPr>
        <w:t>
      При присвоении кредитного рейтинга заемщика и (или) скорингового балла банк руководствуется актуальной доступной информацией о факторах, влияющих на будущую кредитоспособность и платежеспособность заемщика.</w:t>
      </w:r>
    </w:p>
    <w:bookmarkEnd w:id="529"/>
    <w:bookmarkStart w:name="z551" w:id="530"/>
    <w:p>
      <w:pPr>
        <w:spacing w:after="0"/>
        <w:ind w:left="0"/>
        <w:jc w:val="both"/>
      </w:pPr>
      <w:r>
        <w:rPr>
          <w:rFonts w:ascii="Times New Roman"/>
          <w:b w:val="false"/>
          <w:i w:val="false"/>
          <w:color w:val="000000"/>
          <w:sz w:val="28"/>
        </w:rPr>
        <w:t>
      Присвоенный юридическим лицам кредитный рейтинг подлежит периодическому мониторингу на предмет актуальности. Частота пересмотра увеличивается в случае наличия негативной информации, несущей риск ухудшения финансового состояния заемщика и (или) невозможности погашения обязательств перед банком и иной доступной информации;</w:t>
      </w:r>
    </w:p>
    <w:bookmarkEnd w:id="530"/>
    <w:bookmarkStart w:name="z552" w:id="531"/>
    <w:p>
      <w:pPr>
        <w:spacing w:after="0"/>
        <w:ind w:left="0"/>
        <w:jc w:val="both"/>
      </w:pPr>
      <w:r>
        <w:rPr>
          <w:rFonts w:ascii="Times New Roman"/>
          <w:b w:val="false"/>
          <w:i w:val="false"/>
          <w:color w:val="000000"/>
          <w:sz w:val="28"/>
        </w:rPr>
        <w:t>
      5) наличие адекватной системы классификации активов по уровню кредитного риска.</w:t>
      </w:r>
    </w:p>
    <w:bookmarkEnd w:id="531"/>
    <w:bookmarkStart w:name="z553" w:id="532"/>
    <w:p>
      <w:pPr>
        <w:spacing w:after="0"/>
        <w:ind w:left="0"/>
        <w:jc w:val="both"/>
      </w:pPr>
      <w:r>
        <w:rPr>
          <w:rFonts w:ascii="Times New Roman"/>
          <w:b w:val="false"/>
          <w:i w:val="false"/>
          <w:color w:val="000000"/>
          <w:sz w:val="28"/>
        </w:rPr>
        <w:t>
      В рамках системы классификации активов по уровню кредитного риска банк внедряет и использует комплексные процедуры и информационные системы (в случае отсутствия - программное обеспечение) для мониторинга качества кредитного портфеля. Процедуры и информационные системы включают критерии, которые идентифицируют и выявляют проблемные займы, обеспечивают надлежащий контроль.</w:t>
      </w:r>
    </w:p>
    <w:bookmarkEnd w:id="532"/>
    <w:bookmarkStart w:name="z554" w:id="533"/>
    <w:p>
      <w:pPr>
        <w:spacing w:after="0"/>
        <w:ind w:left="0"/>
        <w:jc w:val="both"/>
      </w:pPr>
      <w:r>
        <w:rPr>
          <w:rFonts w:ascii="Times New Roman"/>
          <w:b w:val="false"/>
          <w:i w:val="false"/>
          <w:color w:val="000000"/>
          <w:sz w:val="28"/>
        </w:rPr>
        <w:t>
      Система классификации активов по уровню кредитного риска обеспечивает предоставление информации для совета директоров, комитетов при совете директоров, правления, иных подразделений банка, участвующих в процессе управления кредитным риском и позволяет оценить уровень кредитного риска банка как в целом по балансу, так и в разрезе каждого актива.</w:t>
      </w:r>
    </w:p>
    <w:bookmarkEnd w:id="533"/>
    <w:bookmarkStart w:name="z555" w:id="534"/>
    <w:p>
      <w:pPr>
        <w:spacing w:after="0"/>
        <w:ind w:left="0"/>
        <w:jc w:val="both"/>
      </w:pPr>
      <w:r>
        <w:rPr>
          <w:rFonts w:ascii="Times New Roman"/>
          <w:b w:val="false"/>
          <w:i w:val="false"/>
          <w:color w:val="000000"/>
          <w:sz w:val="28"/>
        </w:rPr>
        <w:t>
      Система классификации активов по уровню кредитного риска основывается на детальном анализе всех активов (за исключением дебиторской задолженности по неосновной деятельности в сумме, не превышающей 2 (два) процента от собственного капитала банка), которым присущ кредитный риск.</w:t>
      </w:r>
    </w:p>
    <w:bookmarkEnd w:id="534"/>
    <w:bookmarkStart w:name="z556" w:id="535"/>
    <w:p>
      <w:pPr>
        <w:spacing w:after="0"/>
        <w:ind w:left="0"/>
        <w:jc w:val="both"/>
      </w:pPr>
      <w:r>
        <w:rPr>
          <w:rFonts w:ascii="Times New Roman"/>
          <w:b w:val="false"/>
          <w:i w:val="false"/>
          <w:color w:val="000000"/>
          <w:sz w:val="28"/>
        </w:rPr>
        <w:t>
      Детальный анализ активов включает оценку:</w:t>
      </w:r>
    </w:p>
    <w:bookmarkEnd w:id="535"/>
    <w:bookmarkStart w:name="z557" w:id="536"/>
    <w:p>
      <w:pPr>
        <w:spacing w:after="0"/>
        <w:ind w:left="0"/>
        <w:jc w:val="both"/>
      </w:pPr>
      <w:r>
        <w:rPr>
          <w:rFonts w:ascii="Times New Roman"/>
          <w:b w:val="false"/>
          <w:i w:val="false"/>
          <w:color w:val="000000"/>
          <w:sz w:val="28"/>
        </w:rPr>
        <w:t>
      вероятности дефолта по обязательствам заемщика и (или) контрагента (PD);</w:t>
      </w:r>
    </w:p>
    <w:bookmarkEnd w:id="536"/>
    <w:bookmarkStart w:name="z558" w:id="537"/>
    <w:p>
      <w:pPr>
        <w:spacing w:after="0"/>
        <w:ind w:left="0"/>
        <w:jc w:val="both"/>
      </w:pPr>
      <w:r>
        <w:rPr>
          <w:rFonts w:ascii="Times New Roman"/>
          <w:b w:val="false"/>
          <w:i w:val="false"/>
          <w:color w:val="000000"/>
          <w:sz w:val="28"/>
        </w:rPr>
        <w:t>
      размера убытков в случае дефолта заемщика и (или) контрагента (LGD);</w:t>
      </w:r>
    </w:p>
    <w:bookmarkEnd w:id="537"/>
    <w:bookmarkStart w:name="z559" w:id="538"/>
    <w:p>
      <w:pPr>
        <w:spacing w:after="0"/>
        <w:ind w:left="0"/>
        <w:jc w:val="both"/>
      </w:pPr>
      <w:r>
        <w:rPr>
          <w:rFonts w:ascii="Times New Roman"/>
          <w:b w:val="false"/>
          <w:i w:val="false"/>
          <w:color w:val="000000"/>
          <w:sz w:val="28"/>
        </w:rPr>
        <w:t>
      величины обязательств, подверженных дефолту (EAD);</w:t>
      </w:r>
    </w:p>
    <w:bookmarkEnd w:id="538"/>
    <w:bookmarkStart w:name="z560" w:id="539"/>
    <w:p>
      <w:pPr>
        <w:spacing w:after="0"/>
        <w:ind w:left="0"/>
        <w:jc w:val="both"/>
      </w:pPr>
      <w:r>
        <w:rPr>
          <w:rFonts w:ascii="Times New Roman"/>
          <w:b w:val="false"/>
          <w:i w:val="false"/>
          <w:color w:val="000000"/>
          <w:sz w:val="28"/>
        </w:rPr>
        <w:t>
      срока, в течение которого сохраняется позиция по риску;</w:t>
      </w:r>
    </w:p>
    <w:bookmarkEnd w:id="539"/>
    <w:bookmarkStart w:name="z561" w:id="540"/>
    <w:p>
      <w:pPr>
        <w:spacing w:after="0"/>
        <w:ind w:left="0"/>
        <w:jc w:val="both"/>
      </w:pPr>
      <w:r>
        <w:rPr>
          <w:rFonts w:ascii="Times New Roman"/>
          <w:b w:val="false"/>
          <w:i w:val="false"/>
          <w:color w:val="000000"/>
          <w:sz w:val="28"/>
        </w:rPr>
        <w:t>
      стоимости залогового обеспечения и возможность его реализации;</w:t>
      </w:r>
    </w:p>
    <w:bookmarkEnd w:id="540"/>
    <w:bookmarkStart w:name="z562" w:id="541"/>
    <w:p>
      <w:pPr>
        <w:spacing w:after="0"/>
        <w:ind w:left="0"/>
        <w:jc w:val="both"/>
      </w:pPr>
      <w:r>
        <w:rPr>
          <w:rFonts w:ascii="Times New Roman"/>
          <w:b w:val="false"/>
          <w:i w:val="false"/>
          <w:color w:val="000000"/>
          <w:sz w:val="28"/>
        </w:rPr>
        <w:t>
      бизнес-среды и экономических условий.</w:t>
      </w:r>
    </w:p>
    <w:bookmarkEnd w:id="541"/>
    <w:bookmarkStart w:name="z563" w:id="542"/>
    <w:p>
      <w:pPr>
        <w:spacing w:after="0"/>
        <w:ind w:left="0"/>
        <w:jc w:val="both"/>
      </w:pPr>
      <w:r>
        <w:rPr>
          <w:rFonts w:ascii="Times New Roman"/>
          <w:b w:val="false"/>
          <w:i w:val="false"/>
          <w:color w:val="000000"/>
          <w:sz w:val="28"/>
        </w:rPr>
        <w:t>
      Классификация активов (за исключением дебиторской задолженности по неосновной деятельности в сумме, не превышающей 2 (два) процента от собственного капитала банка), которым присущ кредитный риск, осуществляется на основе как минимум 5 (пяти) категорий и обеспечивает:</w:t>
      </w:r>
    </w:p>
    <w:bookmarkEnd w:id="542"/>
    <w:bookmarkStart w:name="z564" w:id="543"/>
    <w:p>
      <w:pPr>
        <w:spacing w:after="0"/>
        <w:ind w:left="0"/>
        <w:jc w:val="both"/>
      </w:pPr>
      <w:r>
        <w:rPr>
          <w:rFonts w:ascii="Times New Roman"/>
          <w:b w:val="false"/>
          <w:i w:val="false"/>
          <w:color w:val="000000"/>
          <w:sz w:val="28"/>
        </w:rPr>
        <w:t>
      надежную оценку достаточности капитала в рамках ВПОДК;</w:t>
      </w:r>
    </w:p>
    <w:bookmarkEnd w:id="543"/>
    <w:bookmarkStart w:name="z565" w:id="544"/>
    <w:p>
      <w:pPr>
        <w:spacing w:after="0"/>
        <w:ind w:left="0"/>
        <w:jc w:val="both"/>
      </w:pPr>
      <w:r>
        <w:rPr>
          <w:rFonts w:ascii="Times New Roman"/>
          <w:b w:val="false"/>
          <w:i w:val="false"/>
          <w:color w:val="000000"/>
          <w:sz w:val="28"/>
        </w:rPr>
        <w:t>
      необходимый уровень провизий на покрытие ожидаемых потерь.</w:t>
      </w:r>
    </w:p>
    <w:bookmarkEnd w:id="544"/>
    <w:bookmarkStart w:name="z566" w:id="545"/>
    <w:p>
      <w:pPr>
        <w:spacing w:after="0"/>
        <w:ind w:left="0"/>
        <w:jc w:val="both"/>
      </w:pPr>
      <w:r>
        <w:rPr>
          <w:rFonts w:ascii="Times New Roman"/>
          <w:b w:val="false"/>
          <w:i w:val="false"/>
          <w:color w:val="000000"/>
          <w:sz w:val="28"/>
        </w:rPr>
        <w:t>
      Aктивы, по которым имеется просроченная задолженность по основному долгу и (или) начисленному вознаграждению сроком более 90 (девяноста) календарных дней, классифицируются в наихудшие категории, в случае если нет веских и обоснованных оснований для классификации в более высокую категорию.</w:t>
      </w:r>
    </w:p>
    <w:bookmarkEnd w:id="545"/>
    <w:bookmarkStart w:name="z567" w:id="546"/>
    <w:p>
      <w:pPr>
        <w:spacing w:after="0"/>
        <w:ind w:left="0"/>
        <w:jc w:val="both"/>
      </w:pPr>
      <w:r>
        <w:rPr>
          <w:rFonts w:ascii="Times New Roman"/>
          <w:b w:val="false"/>
          <w:i w:val="false"/>
          <w:color w:val="000000"/>
          <w:sz w:val="28"/>
        </w:rPr>
        <w:t>
      Aктивы, по которым имеется просроченная задолженность по основному долгу и (или) начисленному вознаграждению сроком менее 90 (девяноста) календарных дней, классифицируются в наихудшую категорию, если имеются иные факторы неплатежеспособности заемщика, определенные внутренними документами;</w:t>
      </w:r>
    </w:p>
    <w:bookmarkEnd w:id="546"/>
    <w:bookmarkStart w:name="z568" w:id="547"/>
    <w:p>
      <w:pPr>
        <w:spacing w:after="0"/>
        <w:ind w:left="0"/>
        <w:jc w:val="both"/>
      </w:pPr>
      <w:r>
        <w:rPr>
          <w:rFonts w:ascii="Times New Roman"/>
          <w:b w:val="false"/>
          <w:i w:val="false"/>
          <w:color w:val="000000"/>
          <w:sz w:val="28"/>
        </w:rPr>
        <w:t>
      6) наличие политики управления проблемными активами.</w:t>
      </w:r>
    </w:p>
    <w:bookmarkEnd w:id="547"/>
    <w:bookmarkStart w:name="z569" w:id="548"/>
    <w:p>
      <w:pPr>
        <w:spacing w:after="0"/>
        <w:ind w:left="0"/>
        <w:jc w:val="both"/>
      </w:pPr>
      <w:r>
        <w:rPr>
          <w:rFonts w:ascii="Times New Roman"/>
          <w:b w:val="false"/>
          <w:i w:val="false"/>
          <w:color w:val="000000"/>
          <w:sz w:val="28"/>
        </w:rPr>
        <w:t>
      Совет директоров банка утверждает политику управления проблемными активами, которая содержит:</w:t>
      </w:r>
    </w:p>
    <w:bookmarkEnd w:id="548"/>
    <w:bookmarkStart w:name="z570" w:id="549"/>
    <w:p>
      <w:pPr>
        <w:spacing w:after="0"/>
        <w:ind w:left="0"/>
        <w:jc w:val="both"/>
      </w:pPr>
      <w:r>
        <w:rPr>
          <w:rFonts w:ascii="Times New Roman"/>
          <w:b w:val="false"/>
          <w:i w:val="false"/>
          <w:color w:val="000000"/>
          <w:sz w:val="28"/>
        </w:rPr>
        <w:t>
      определение проблемных активов;</w:t>
      </w:r>
    </w:p>
    <w:bookmarkEnd w:id="549"/>
    <w:bookmarkStart w:name="z571" w:id="550"/>
    <w:p>
      <w:pPr>
        <w:spacing w:after="0"/>
        <w:ind w:left="0"/>
        <w:jc w:val="both"/>
      </w:pPr>
      <w:r>
        <w:rPr>
          <w:rFonts w:ascii="Times New Roman"/>
          <w:b w:val="false"/>
          <w:i w:val="false"/>
          <w:color w:val="000000"/>
          <w:sz w:val="28"/>
        </w:rPr>
        <w:t>
      методы управления проблемными активами (реструктуризация, продажа, списание, изъятие залогового обеспечения, банкротство и другие методы);</w:t>
      </w:r>
    </w:p>
    <w:bookmarkEnd w:id="550"/>
    <w:bookmarkStart w:name="z572" w:id="551"/>
    <w:p>
      <w:pPr>
        <w:spacing w:after="0"/>
        <w:ind w:left="0"/>
        <w:jc w:val="both"/>
      </w:pPr>
      <w:r>
        <w:rPr>
          <w:rFonts w:ascii="Times New Roman"/>
          <w:b w:val="false"/>
          <w:i w:val="false"/>
          <w:color w:val="000000"/>
          <w:sz w:val="28"/>
        </w:rPr>
        <w:t>
      лимиты в отношении проблемных активов (в разрезе портфелей) и сроки реализации утвержденных методов управления проблемными активами для приведения в соответствие установленным лимитам при их нарушении;</w:t>
      </w:r>
    </w:p>
    <w:bookmarkEnd w:id="551"/>
    <w:bookmarkStart w:name="z573" w:id="552"/>
    <w:p>
      <w:pPr>
        <w:spacing w:after="0"/>
        <w:ind w:left="0"/>
        <w:jc w:val="both"/>
      </w:pPr>
      <w:r>
        <w:rPr>
          <w:rFonts w:ascii="Times New Roman"/>
          <w:b w:val="false"/>
          <w:i w:val="false"/>
          <w:color w:val="000000"/>
          <w:sz w:val="28"/>
        </w:rPr>
        <w:t>
      количественные и качественные параметры раннего реагирования на риск увеличения объема проблемных активов;</w:t>
      </w:r>
    </w:p>
    <w:bookmarkEnd w:id="552"/>
    <w:bookmarkStart w:name="z574" w:id="553"/>
    <w:p>
      <w:pPr>
        <w:spacing w:after="0"/>
        <w:ind w:left="0"/>
        <w:jc w:val="both"/>
      </w:pPr>
      <w:r>
        <w:rPr>
          <w:rFonts w:ascii="Times New Roman"/>
          <w:b w:val="false"/>
          <w:i w:val="false"/>
          <w:color w:val="000000"/>
          <w:sz w:val="28"/>
        </w:rPr>
        <w:t>
      список заинтересованных подразделений и внутренний порядок их взаимодействия при работе с проблемными активами;</w:t>
      </w:r>
    </w:p>
    <w:bookmarkEnd w:id="553"/>
    <w:bookmarkStart w:name="z575" w:id="554"/>
    <w:p>
      <w:pPr>
        <w:spacing w:after="0"/>
        <w:ind w:left="0"/>
        <w:jc w:val="both"/>
      </w:pPr>
      <w:r>
        <w:rPr>
          <w:rFonts w:ascii="Times New Roman"/>
          <w:b w:val="false"/>
          <w:i w:val="false"/>
          <w:color w:val="000000"/>
          <w:sz w:val="28"/>
        </w:rPr>
        <w:t>
      внутренний порядок предоставления управленческой отчетности совету директоров об уровне проблемных активов;</w:t>
      </w:r>
    </w:p>
    <w:bookmarkEnd w:id="554"/>
    <w:bookmarkStart w:name="z576" w:id="555"/>
    <w:p>
      <w:pPr>
        <w:spacing w:after="0"/>
        <w:ind w:left="0"/>
        <w:jc w:val="both"/>
      </w:pPr>
      <w:r>
        <w:rPr>
          <w:rFonts w:ascii="Times New Roman"/>
          <w:b w:val="false"/>
          <w:i w:val="false"/>
          <w:color w:val="000000"/>
          <w:sz w:val="28"/>
        </w:rPr>
        <w:t>
      процедуры оценки применяемых банком методов управления проблемными активами;</w:t>
      </w:r>
    </w:p>
    <w:bookmarkEnd w:id="555"/>
    <w:bookmarkStart w:name="z577" w:id="556"/>
    <w:p>
      <w:pPr>
        <w:spacing w:after="0"/>
        <w:ind w:left="0"/>
        <w:jc w:val="both"/>
      </w:pPr>
      <w:r>
        <w:rPr>
          <w:rFonts w:ascii="Times New Roman"/>
          <w:b w:val="false"/>
          <w:i w:val="false"/>
          <w:color w:val="000000"/>
          <w:sz w:val="28"/>
        </w:rPr>
        <w:t>
      7) наличие надежной методики формирования провизий.</w:t>
      </w:r>
    </w:p>
    <w:bookmarkEnd w:id="556"/>
    <w:bookmarkStart w:name="z578" w:id="557"/>
    <w:p>
      <w:pPr>
        <w:spacing w:after="0"/>
        <w:ind w:left="0"/>
        <w:jc w:val="both"/>
      </w:pPr>
      <w:r>
        <w:rPr>
          <w:rFonts w:ascii="Times New Roman"/>
          <w:b w:val="false"/>
          <w:i w:val="false"/>
          <w:color w:val="000000"/>
          <w:sz w:val="28"/>
        </w:rPr>
        <w:t>
      В целях обеспечения достаточности формируемых провизий для покрытия ожидаемых потерь банк ежегодно (либо чаще при необходимости) проводит анализ методики формирования провизий путем:</w:t>
      </w:r>
    </w:p>
    <w:bookmarkEnd w:id="557"/>
    <w:bookmarkStart w:name="z579" w:id="558"/>
    <w:p>
      <w:pPr>
        <w:spacing w:after="0"/>
        <w:ind w:left="0"/>
        <w:jc w:val="both"/>
      </w:pPr>
      <w:r>
        <w:rPr>
          <w:rFonts w:ascii="Times New Roman"/>
          <w:b w:val="false"/>
          <w:i w:val="false"/>
          <w:color w:val="000000"/>
          <w:sz w:val="28"/>
        </w:rPr>
        <w:t>
      определения соответствия провизий, рассчитанных согласно требованиям методики формирования провизий, фактическим суммам убытков;</w:t>
      </w:r>
    </w:p>
    <w:bookmarkEnd w:id="558"/>
    <w:bookmarkStart w:name="z580" w:id="559"/>
    <w:p>
      <w:pPr>
        <w:spacing w:after="0"/>
        <w:ind w:left="0"/>
        <w:jc w:val="both"/>
      </w:pPr>
      <w:r>
        <w:rPr>
          <w:rFonts w:ascii="Times New Roman"/>
          <w:b w:val="false"/>
          <w:i w:val="false"/>
          <w:color w:val="000000"/>
          <w:sz w:val="28"/>
        </w:rPr>
        <w:t>
      анализа текущих рыночных условий, изменений макроэкономических показателей;</w:t>
      </w:r>
    </w:p>
    <w:bookmarkEnd w:id="559"/>
    <w:bookmarkStart w:name="z581" w:id="560"/>
    <w:p>
      <w:pPr>
        <w:spacing w:after="0"/>
        <w:ind w:left="0"/>
        <w:jc w:val="both"/>
      </w:pPr>
      <w:r>
        <w:rPr>
          <w:rFonts w:ascii="Times New Roman"/>
          <w:b w:val="false"/>
          <w:i w:val="false"/>
          <w:color w:val="000000"/>
          <w:sz w:val="28"/>
        </w:rPr>
        <w:t>
      валидации методики формирования провизий.</w:t>
      </w:r>
    </w:p>
    <w:bookmarkEnd w:id="560"/>
    <w:bookmarkStart w:name="z582" w:id="561"/>
    <w:p>
      <w:pPr>
        <w:spacing w:after="0"/>
        <w:ind w:left="0"/>
        <w:jc w:val="both"/>
      </w:pPr>
      <w:r>
        <w:rPr>
          <w:rFonts w:ascii="Times New Roman"/>
          <w:b w:val="false"/>
          <w:i w:val="false"/>
          <w:color w:val="000000"/>
          <w:sz w:val="28"/>
        </w:rPr>
        <w:t>
      При формировании провизий по коллективным займам банк осуществляет анализ исторических данных, охватывающих необходимый период времени, и наиболее корректно отражающие кредитные потери банка. При этом исторические данные дополняются анализом текущей рыночной и экономической ситуации.</w:t>
      </w:r>
    </w:p>
    <w:bookmarkEnd w:id="561"/>
    <w:bookmarkStart w:name="z583" w:id="562"/>
    <w:p>
      <w:pPr>
        <w:spacing w:after="0"/>
        <w:ind w:left="0"/>
        <w:jc w:val="both"/>
      </w:pPr>
      <w:r>
        <w:rPr>
          <w:rFonts w:ascii="Times New Roman"/>
          <w:b w:val="false"/>
          <w:i w:val="false"/>
          <w:color w:val="000000"/>
          <w:sz w:val="28"/>
        </w:rPr>
        <w:t>
      В случае если методика формирования провизий указывает на отсутствие признаков повышения кредитного риска по займам, провизии по которым формируются на индивидуальной основе, такие займы подлежат оценке уровня кредитного риска на коллективной основе.</w:t>
      </w:r>
    </w:p>
    <w:bookmarkEnd w:id="562"/>
    <w:bookmarkStart w:name="z584" w:id="563"/>
    <w:p>
      <w:pPr>
        <w:spacing w:after="0"/>
        <w:ind w:left="0"/>
        <w:jc w:val="both"/>
      </w:pPr>
      <w:r>
        <w:rPr>
          <w:rFonts w:ascii="Times New Roman"/>
          <w:b w:val="false"/>
          <w:i w:val="false"/>
          <w:color w:val="000000"/>
          <w:sz w:val="28"/>
        </w:rPr>
        <w:t>
      Банк обеспечивает разработку (обновление) общей методологии моделей оценки вероятности дефолта, описывающей детальные требования, которым соответствует каждая модель оценки вероятности дефолта, включая требования к учету влияния прогнозной макроэкономической информации.</w:t>
      </w:r>
    </w:p>
    <w:bookmarkEnd w:id="563"/>
    <w:bookmarkStart w:name="z585" w:id="564"/>
    <w:p>
      <w:pPr>
        <w:spacing w:after="0"/>
        <w:ind w:left="0"/>
        <w:jc w:val="both"/>
      </w:pPr>
      <w:r>
        <w:rPr>
          <w:rFonts w:ascii="Times New Roman"/>
          <w:b w:val="false"/>
          <w:i w:val="false"/>
          <w:color w:val="000000"/>
          <w:sz w:val="28"/>
        </w:rPr>
        <w:t>
      Методология моделей оценки вероятности дефолта содержит, но не ограничиваясь, следующие требования к:</w:t>
      </w:r>
    </w:p>
    <w:bookmarkEnd w:id="564"/>
    <w:bookmarkStart w:name="z586" w:id="565"/>
    <w:p>
      <w:pPr>
        <w:spacing w:after="0"/>
        <w:ind w:left="0"/>
        <w:jc w:val="both"/>
      </w:pPr>
      <w:r>
        <w:rPr>
          <w:rFonts w:ascii="Times New Roman"/>
          <w:b w:val="false"/>
          <w:i w:val="false"/>
          <w:color w:val="000000"/>
          <w:sz w:val="28"/>
        </w:rPr>
        <w:t>
      определению кредитного обесценения;</w:t>
      </w:r>
    </w:p>
    <w:bookmarkEnd w:id="565"/>
    <w:bookmarkStart w:name="z587" w:id="566"/>
    <w:p>
      <w:pPr>
        <w:spacing w:after="0"/>
        <w:ind w:left="0"/>
        <w:jc w:val="both"/>
      </w:pPr>
      <w:r>
        <w:rPr>
          <w:rFonts w:ascii="Times New Roman"/>
          <w:b w:val="false"/>
          <w:i w:val="false"/>
          <w:color w:val="000000"/>
          <w:sz w:val="28"/>
        </w:rPr>
        <w:t>
      качеству, глубине и объему используемых данных;</w:t>
      </w:r>
    </w:p>
    <w:bookmarkEnd w:id="566"/>
    <w:bookmarkStart w:name="z588" w:id="567"/>
    <w:p>
      <w:pPr>
        <w:spacing w:after="0"/>
        <w:ind w:left="0"/>
        <w:jc w:val="both"/>
      </w:pPr>
      <w:r>
        <w:rPr>
          <w:rFonts w:ascii="Times New Roman"/>
          <w:b w:val="false"/>
          <w:i w:val="false"/>
          <w:color w:val="000000"/>
          <w:sz w:val="28"/>
        </w:rPr>
        <w:t>
      методологии формирования выборок для разработки и тестирования моделей;</w:t>
      </w:r>
    </w:p>
    <w:bookmarkEnd w:id="567"/>
    <w:bookmarkStart w:name="z589" w:id="568"/>
    <w:p>
      <w:pPr>
        <w:spacing w:after="0"/>
        <w:ind w:left="0"/>
        <w:jc w:val="both"/>
      </w:pPr>
      <w:r>
        <w:rPr>
          <w:rFonts w:ascii="Times New Roman"/>
          <w:b w:val="false"/>
          <w:i w:val="false"/>
          <w:color w:val="000000"/>
          <w:sz w:val="28"/>
        </w:rPr>
        <w:t>
      наличию отдельных блоков модели (в том числе требование по учету финансовых, качественных факторов, возможности государственной или поддержки на уровне группы) и их максимальному весу в определении финального PD;</w:t>
      </w:r>
    </w:p>
    <w:bookmarkEnd w:id="568"/>
    <w:bookmarkStart w:name="z590" w:id="569"/>
    <w:p>
      <w:pPr>
        <w:spacing w:after="0"/>
        <w:ind w:left="0"/>
        <w:jc w:val="both"/>
      </w:pPr>
      <w:r>
        <w:rPr>
          <w:rFonts w:ascii="Times New Roman"/>
          <w:b w:val="false"/>
          <w:i w:val="false"/>
          <w:color w:val="000000"/>
          <w:sz w:val="28"/>
        </w:rPr>
        <w:t>
      методологии калибровки модели на основе наблюдаемых уровней кредитного обесценения (калибровки модели на основании фактической статистики уровней кредитного обесценения);</w:t>
      </w:r>
    </w:p>
    <w:bookmarkEnd w:id="569"/>
    <w:bookmarkStart w:name="z591" w:id="570"/>
    <w:p>
      <w:pPr>
        <w:spacing w:after="0"/>
        <w:ind w:left="0"/>
        <w:jc w:val="both"/>
      </w:pPr>
      <w:r>
        <w:rPr>
          <w:rFonts w:ascii="Times New Roman"/>
          <w:b w:val="false"/>
          <w:i w:val="false"/>
          <w:color w:val="000000"/>
          <w:sz w:val="28"/>
        </w:rPr>
        <w:t>
      разработке и учету макро-сценариев, методологии расчета и применения матриц миграций;</w:t>
      </w:r>
    </w:p>
    <w:bookmarkEnd w:id="570"/>
    <w:bookmarkStart w:name="z592" w:id="571"/>
    <w:p>
      <w:pPr>
        <w:spacing w:after="0"/>
        <w:ind w:left="0"/>
        <w:jc w:val="both"/>
      </w:pPr>
      <w:r>
        <w:rPr>
          <w:rFonts w:ascii="Times New Roman"/>
          <w:b w:val="false"/>
          <w:i w:val="false"/>
          <w:color w:val="000000"/>
          <w:sz w:val="28"/>
        </w:rPr>
        <w:t>
      разработке валидной кредитной шкалы, совместимой с кредитными шкалами ведущих рейтинговых агентств;</w:t>
      </w:r>
    </w:p>
    <w:bookmarkEnd w:id="571"/>
    <w:bookmarkStart w:name="z593" w:id="572"/>
    <w:p>
      <w:pPr>
        <w:spacing w:after="0"/>
        <w:ind w:left="0"/>
        <w:jc w:val="both"/>
      </w:pPr>
      <w:r>
        <w:rPr>
          <w:rFonts w:ascii="Times New Roman"/>
          <w:b w:val="false"/>
          <w:i w:val="false"/>
          <w:color w:val="000000"/>
          <w:sz w:val="28"/>
        </w:rPr>
        <w:t>
      расчету разных типов PD (при первоначальном признании, двенадцатимесячный, на весь срок жизни (lifetime PD), в момент времени (PIT PD) и циклический (TTC PD);</w:t>
      </w:r>
    </w:p>
    <w:bookmarkEnd w:id="572"/>
    <w:bookmarkStart w:name="z594" w:id="573"/>
    <w:p>
      <w:pPr>
        <w:spacing w:after="0"/>
        <w:ind w:left="0"/>
        <w:jc w:val="both"/>
      </w:pPr>
      <w:r>
        <w:rPr>
          <w:rFonts w:ascii="Times New Roman"/>
          <w:b w:val="false"/>
          <w:i w:val="false"/>
          <w:color w:val="000000"/>
          <w:sz w:val="28"/>
        </w:rPr>
        <w:t>
      расчету модели PD по финансовым гарантиям;</w:t>
      </w:r>
    </w:p>
    <w:bookmarkEnd w:id="573"/>
    <w:bookmarkStart w:name="z595" w:id="574"/>
    <w:p>
      <w:pPr>
        <w:spacing w:after="0"/>
        <w:ind w:left="0"/>
        <w:jc w:val="both"/>
      </w:pPr>
      <w:r>
        <w:rPr>
          <w:rFonts w:ascii="Times New Roman"/>
          <w:b w:val="false"/>
          <w:i w:val="false"/>
          <w:color w:val="000000"/>
          <w:sz w:val="28"/>
        </w:rPr>
        <w:t>
      оценке годового PD путем использования годовых данных по наблюдаемому уровню дефолтов либо альтернативных подходов, основанных на достоверном статистическом анализе.</w:t>
      </w:r>
    </w:p>
    <w:bookmarkEnd w:id="574"/>
    <w:bookmarkStart w:name="z596" w:id="575"/>
    <w:p>
      <w:pPr>
        <w:spacing w:after="0"/>
        <w:ind w:left="0"/>
        <w:jc w:val="both"/>
      </w:pPr>
      <w:r>
        <w:rPr>
          <w:rFonts w:ascii="Times New Roman"/>
          <w:b w:val="false"/>
          <w:i w:val="false"/>
          <w:color w:val="000000"/>
          <w:sz w:val="28"/>
        </w:rPr>
        <w:t>
      В рамках разработки модели требуется:</w:t>
      </w:r>
    </w:p>
    <w:bookmarkEnd w:id="575"/>
    <w:bookmarkStart w:name="z597" w:id="576"/>
    <w:p>
      <w:pPr>
        <w:spacing w:after="0"/>
        <w:ind w:left="0"/>
        <w:jc w:val="both"/>
      </w:pPr>
      <w:r>
        <w:rPr>
          <w:rFonts w:ascii="Times New Roman"/>
          <w:b w:val="false"/>
          <w:i w:val="false"/>
          <w:color w:val="000000"/>
          <w:sz w:val="28"/>
        </w:rPr>
        <w:t>
      при применении скоринговой модели расчет скорингового балла по каждому из заемщиков выборки для разработки;</w:t>
      </w:r>
    </w:p>
    <w:bookmarkEnd w:id="576"/>
    <w:bookmarkStart w:name="z598" w:id="577"/>
    <w:p>
      <w:pPr>
        <w:spacing w:after="0"/>
        <w:ind w:left="0"/>
        <w:jc w:val="both"/>
      </w:pPr>
      <w:r>
        <w:rPr>
          <w:rFonts w:ascii="Times New Roman"/>
          <w:b w:val="false"/>
          <w:i w:val="false"/>
          <w:color w:val="000000"/>
          <w:sz w:val="28"/>
        </w:rPr>
        <w:t>
      при применении скоринговой модели калибровка модели, то есть перевод скорингового балла в значение PD с использованием моделей наблюдаемого исторического уровня кредитного обесценения по портфелю;</w:t>
      </w:r>
    </w:p>
    <w:bookmarkEnd w:id="577"/>
    <w:bookmarkStart w:name="z599" w:id="578"/>
    <w:p>
      <w:pPr>
        <w:spacing w:after="0"/>
        <w:ind w:left="0"/>
        <w:jc w:val="both"/>
      </w:pPr>
      <w:r>
        <w:rPr>
          <w:rFonts w:ascii="Times New Roman"/>
          <w:b w:val="false"/>
          <w:i w:val="false"/>
          <w:color w:val="000000"/>
          <w:sz w:val="28"/>
        </w:rPr>
        <w:t>
      разработка модели учета макроэкономической ситуации и перевода TTC PD в PIT PD;</w:t>
      </w:r>
    </w:p>
    <w:bookmarkEnd w:id="578"/>
    <w:bookmarkStart w:name="z600" w:id="579"/>
    <w:p>
      <w:pPr>
        <w:spacing w:after="0"/>
        <w:ind w:left="0"/>
        <w:jc w:val="both"/>
      </w:pPr>
      <w:r>
        <w:rPr>
          <w:rFonts w:ascii="Times New Roman"/>
          <w:b w:val="false"/>
          <w:i w:val="false"/>
          <w:color w:val="000000"/>
          <w:sz w:val="28"/>
        </w:rPr>
        <w:t>
      оценивать годовой PD путем либо использования годовых данных по наблюдаемому уровню дефолтов, либо альтернативных подходов, основанных на достоверном статистическом анализе;</w:t>
      </w:r>
    </w:p>
    <w:bookmarkEnd w:id="579"/>
    <w:bookmarkStart w:name="z601" w:id="580"/>
    <w:p>
      <w:pPr>
        <w:spacing w:after="0"/>
        <w:ind w:left="0"/>
        <w:jc w:val="both"/>
      </w:pPr>
      <w:r>
        <w:rPr>
          <w:rFonts w:ascii="Times New Roman"/>
          <w:b w:val="false"/>
          <w:i w:val="false"/>
          <w:color w:val="000000"/>
          <w:sz w:val="28"/>
        </w:rPr>
        <w:t>
      предусмотреть выбор актуального объема исторических данных по наблюдаемому уровню дефолтов при разработке модели и калибровку PIT значений на основе ожидаемых макропоказателей;</w:t>
      </w:r>
    </w:p>
    <w:bookmarkEnd w:id="580"/>
    <w:bookmarkStart w:name="z602" w:id="581"/>
    <w:p>
      <w:pPr>
        <w:spacing w:after="0"/>
        <w:ind w:left="0"/>
        <w:jc w:val="both"/>
      </w:pPr>
      <w:r>
        <w:rPr>
          <w:rFonts w:ascii="Times New Roman"/>
          <w:b w:val="false"/>
          <w:i w:val="false"/>
          <w:color w:val="000000"/>
          <w:sz w:val="28"/>
        </w:rPr>
        <w:t>
      установление минимальной границы PD для резидентов Республики Казахстан, соответствующей PD Республики Казахстан, за исключением статистических обоснованных случаев.</w:t>
      </w:r>
    </w:p>
    <w:bookmarkEnd w:id="581"/>
    <w:bookmarkStart w:name="z603" w:id="582"/>
    <w:p>
      <w:pPr>
        <w:spacing w:after="0"/>
        <w:ind w:left="0"/>
        <w:jc w:val="both"/>
      </w:pPr>
      <w:r>
        <w:rPr>
          <w:rFonts w:ascii="Times New Roman"/>
          <w:b w:val="false"/>
          <w:i w:val="false"/>
          <w:color w:val="000000"/>
          <w:sz w:val="28"/>
        </w:rPr>
        <w:t>
      Банк обеспечивает автоматический расчет во внутренних системах банка всех риск-метрик (PD, LGD, EAD), провизий, а также определение событий значительного увеличения кредитного риска, событий, являющихся объективными подтверждениями обесценения по МСФО, категорий обесценения.</w:t>
      </w:r>
    </w:p>
    <w:bookmarkEnd w:id="582"/>
    <w:bookmarkStart w:name="z604" w:id="583"/>
    <w:p>
      <w:pPr>
        <w:spacing w:after="0"/>
        <w:ind w:left="0"/>
        <w:jc w:val="both"/>
      </w:pPr>
      <w:r>
        <w:rPr>
          <w:rFonts w:ascii="Times New Roman"/>
          <w:b w:val="false"/>
          <w:i w:val="false"/>
          <w:color w:val="000000"/>
          <w:sz w:val="28"/>
        </w:rPr>
        <w:t>
      Банк обеспечивает хранение в системах не менее 5 (пяти) лет после погашения займа (или) внебалансового обязательства следующих данных (но не ограничиваясь):</w:t>
      </w:r>
    </w:p>
    <w:bookmarkEnd w:id="583"/>
    <w:bookmarkStart w:name="z605" w:id="584"/>
    <w:p>
      <w:pPr>
        <w:spacing w:after="0"/>
        <w:ind w:left="0"/>
        <w:jc w:val="both"/>
      </w:pPr>
      <w:r>
        <w:rPr>
          <w:rFonts w:ascii="Times New Roman"/>
          <w:b w:val="false"/>
          <w:i w:val="false"/>
          <w:color w:val="000000"/>
          <w:sz w:val="28"/>
        </w:rPr>
        <w:t>
      результаты прохождения или не прохождения SPPI теста;</w:t>
      </w:r>
    </w:p>
    <w:bookmarkEnd w:id="584"/>
    <w:bookmarkStart w:name="z606" w:id="585"/>
    <w:p>
      <w:pPr>
        <w:spacing w:after="0"/>
        <w:ind w:left="0"/>
        <w:jc w:val="both"/>
      </w:pPr>
      <w:r>
        <w:rPr>
          <w:rFonts w:ascii="Times New Roman"/>
          <w:b w:val="false"/>
          <w:i w:val="false"/>
          <w:color w:val="000000"/>
          <w:sz w:val="28"/>
        </w:rPr>
        <w:t>
      классификация финансового инструмента в соответствии с МСФО 9;</w:t>
      </w:r>
    </w:p>
    <w:bookmarkEnd w:id="585"/>
    <w:bookmarkStart w:name="z607" w:id="586"/>
    <w:p>
      <w:pPr>
        <w:spacing w:after="0"/>
        <w:ind w:left="0"/>
        <w:jc w:val="both"/>
      </w:pPr>
      <w:r>
        <w:rPr>
          <w:rFonts w:ascii="Times New Roman"/>
          <w:b w:val="false"/>
          <w:i w:val="false"/>
          <w:color w:val="000000"/>
          <w:sz w:val="28"/>
        </w:rPr>
        <w:t>
      события, являющиеся объективными подтверждениями обесценения (отдельное поле данных для каждого события по каждому заемщику и (или) обязательству);</w:t>
      </w:r>
    </w:p>
    <w:bookmarkEnd w:id="586"/>
    <w:bookmarkStart w:name="z608" w:id="587"/>
    <w:p>
      <w:pPr>
        <w:spacing w:after="0"/>
        <w:ind w:left="0"/>
        <w:jc w:val="both"/>
      </w:pPr>
      <w:r>
        <w:rPr>
          <w:rFonts w:ascii="Times New Roman"/>
          <w:b w:val="false"/>
          <w:i w:val="false"/>
          <w:color w:val="000000"/>
          <w:sz w:val="28"/>
        </w:rPr>
        <w:t>
      стадия обесценения заемщика;</w:t>
      </w:r>
    </w:p>
    <w:bookmarkEnd w:id="587"/>
    <w:bookmarkStart w:name="z609" w:id="588"/>
    <w:p>
      <w:pPr>
        <w:spacing w:after="0"/>
        <w:ind w:left="0"/>
        <w:jc w:val="both"/>
      </w:pPr>
      <w:r>
        <w:rPr>
          <w:rFonts w:ascii="Times New Roman"/>
          <w:b w:val="false"/>
          <w:i w:val="false"/>
          <w:color w:val="000000"/>
          <w:sz w:val="28"/>
        </w:rPr>
        <w:t>
      вероятности сценариев по методам "going-concern" и "gone-concern" для индивидуально-оцениваемых заемщиков;</w:t>
      </w:r>
    </w:p>
    <w:bookmarkEnd w:id="588"/>
    <w:bookmarkStart w:name="z610" w:id="589"/>
    <w:p>
      <w:pPr>
        <w:spacing w:after="0"/>
        <w:ind w:left="0"/>
        <w:jc w:val="both"/>
      </w:pPr>
      <w:r>
        <w:rPr>
          <w:rFonts w:ascii="Times New Roman"/>
          <w:b w:val="false"/>
          <w:i w:val="false"/>
          <w:color w:val="000000"/>
          <w:sz w:val="28"/>
        </w:rPr>
        <w:t>
      эффективная процентная ставка (первоначальная и актуальная процентные ставки);</w:t>
      </w:r>
    </w:p>
    <w:bookmarkEnd w:id="589"/>
    <w:bookmarkStart w:name="z611" w:id="590"/>
    <w:p>
      <w:pPr>
        <w:spacing w:after="0"/>
        <w:ind w:left="0"/>
        <w:jc w:val="both"/>
      </w:pPr>
      <w:r>
        <w:rPr>
          <w:rFonts w:ascii="Times New Roman"/>
          <w:b w:val="false"/>
          <w:i w:val="false"/>
          <w:color w:val="000000"/>
          <w:sz w:val="28"/>
        </w:rPr>
        <w:t>
      уровни дефолтов (по количеству заемщиков, обязательств и по сумме обязательств) в абсолютном и процентном выражениях;</w:t>
      </w:r>
    </w:p>
    <w:bookmarkEnd w:id="590"/>
    <w:bookmarkStart w:name="z612" w:id="591"/>
    <w:p>
      <w:pPr>
        <w:spacing w:after="0"/>
        <w:ind w:left="0"/>
        <w:jc w:val="both"/>
      </w:pPr>
      <w:r>
        <w:rPr>
          <w:rFonts w:ascii="Times New Roman"/>
          <w:b w:val="false"/>
          <w:i w:val="false"/>
          <w:color w:val="000000"/>
          <w:sz w:val="28"/>
        </w:rPr>
        <w:t>
      уровни возвратов (по сумме обязательств - отдельно с учетом выздоровлений и без учета выздоровлений) в абсолютном и процентном выражениях;</w:t>
      </w:r>
    </w:p>
    <w:bookmarkEnd w:id="591"/>
    <w:bookmarkStart w:name="z613" w:id="592"/>
    <w:p>
      <w:pPr>
        <w:spacing w:after="0"/>
        <w:ind w:left="0"/>
        <w:jc w:val="both"/>
      </w:pPr>
      <w:r>
        <w:rPr>
          <w:rFonts w:ascii="Times New Roman"/>
          <w:b w:val="false"/>
          <w:i w:val="false"/>
          <w:color w:val="000000"/>
          <w:sz w:val="28"/>
        </w:rPr>
        <w:t>
      уровни реструктуризаций (по количеству заемщиков, обязательств и по сумме обязательств - отдельно по реструктуризациям и отдельно по вынужденным реструктуризациям) в абсолютном и процентном выражениях;</w:t>
      </w:r>
    </w:p>
    <w:bookmarkEnd w:id="592"/>
    <w:bookmarkStart w:name="z614" w:id="593"/>
    <w:p>
      <w:pPr>
        <w:spacing w:after="0"/>
        <w:ind w:left="0"/>
        <w:jc w:val="both"/>
      </w:pPr>
      <w:r>
        <w:rPr>
          <w:rFonts w:ascii="Times New Roman"/>
          <w:b w:val="false"/>
          <w:i w:val="false"/>
          <w:color w:val="000000"/>
          <w:sz w:val="28"/>
        </w:rPr>
        <w:t>
      уровни выздоровлений (по количеству заемщиков, обязательств и по сумме обязательств) в абсолютном и процентном выражениях;</w:t>
      </w:r>
    </w:p>
    <w:bookmarkEnd w:id="593"/>
    <w:bookmarkStart w:name="z615" w:id="594"/>
    <w:p>
      <w:pPr>
        <w:spacing w:after="0"/>
        <w:ind w:left="0"/>
        <w:jc w:val="both"/>
      </w:pPr>
      <w:r>
        <w:rPr>
          <w:rFonts w:ascii="Times New Roman"/>
          <w:b w:val="false"/>
          <w:i w:val="false"/>
          <w:color w:val="000000"/>
          <w:sz w:val="28"/>
        </w:rPr>
        <w:t>
      уровни списаний (по сумме обязательств - отдельно по частичным и отдельно по полным списаниям) в абсолютном и процентном выражениях;</w:t>
      </w:r>
    </w:p>
    <w:bookmarkEnd w:id="594"/>
    <w:bookmarkStart w:name="z616" w:id="595"/>
    <w:p>
      <w:pPr>
        <w:spacing w:after="0"/>
        <w:ind w:left="0"/>
        <w:jc w:val="both"/>
      </w:pPr>
      <w:r>
        <w:rPr>
          <w:rFonts w:ascii="Times New Roman"/>
          <w:b w:val="false"/>
          <w:i w:val="false"/>
          <w:color w:val="000000"/>
          <w:sz w:val="28"/>
        </w:rPr>
        <w:t>
      значения PD (для каждого заемщика и (или) обязательства с момента выдачи и в течение всего срока действия займа и (или) внебалансового обязательства);</w:t>
      </w:r>
    </w:p>
    <w:bookmarkEnd w:id="595"/>
    <w:bookmarkStart w:name="z617" w:id="596"/>
    <w:p>
      <w:pPr>
        <w:spacing w:after="0"/>
        <w:ind w:left="0"/>
        <w:jc w:val="both"/>
      </w:pPr>
      <w:r>
        <w:rPr>
          <w:rFonts w:ascii="Times New Roman"/>
          <w:b w:val="false"/>
          <w:i w:val="false"/>
          <w:color w:val="000000"/>
          <w:sz w:val="28"/>
        </w:rPr>
        <w:t>
      значения двенадцатимесячного PD и lifetime PD на момент признания и на каждый месяц в течение срока займа и (или) внебалансового обязательства;</w:t>
      </w:r>
    </w:p>
    <w:bookmarkEnd w:id="596"/>
    <w:bookmarkStart w:name="z618" w:id="597"/>
    <w:p>
      <w:pPr>
        <w:spacing w:after="0"/>
        <w:ind w:left="0"/>
        <w:jc w:val="both"/>
      </w:pPr>
      <w:r>
        <w:rPr>
          <w:rFonts w:ascii="Times New Roman"/>
          <w:b w:val="false"/>
          <w:i w:val="false"/>
          <w:color w:val="000000"/>
          <w:sz w:val="28"/>
        </w:rPr>
        <w:t>
      значения LGD (включая значение LGD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597"/>
    <w:bookmarkStart w:name="z619" w:id="598"/>
    <w:p>
      <w:pPr>
        <w:spacing w:after="0"/>
        <w:ind w:left="0"/>
        <w:jc w:val="both"/>
      </w:pPr>
      <w:r>
        <w:rPr>
          <w:rFonts w:ascii="Times New Roman"/>
          <w:b w:val="false"/>
          <w:i w:val="false"/>
          <w:color w:val="000000"/>
          <w:sz w:val="28"/>
        </w:rPr>
        <w:t>
      значения EAD (включая значение EAD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598"/>
    <w:bookmarkStart w:name="z620" w:id="599"/>
    <w:p>
      <w:pPr>
        <w:spacing w:after="0"/>
        <w:ind w:left="0"/>
        <w:jc w:val="both"/>
      </w:pPr>
      <w:r>
        <w:rPr>
          <w:rFonts w:ascii="Times New Roman"/>
          <w:b w:val="false"/>
          <w:i w:val="false"/>
          <w:color w:val="000000"/>
          <w:sz w:val="28"/>
        </w:rPr>
        <w:t>
      кредитные убытки (включая значения ожидаемых кредитных убытков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599"/>
    <w:bookmarkStart w:name="z621" w:id="600"/>
    <w:p>
      <w:pPr>
        <w:spacing w:after="0"/>
        <w:ind w:left="0"/>
        <w:jc w:val="both"/>
      </w:pPr>
      <w:r>
        <w:rPr>
          <w:rFonts w:ascii="Times New Roman"/>
          <w:b w:val="false"/>
          <w:i w:val="false"/>
          <w:color w:val="000000"/>
          <w:sz w:val="28"/>
        </w:rPr>
        <w:t>
      значения коэффициентов риск-взвешивания (RWA) (включая значения RWA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600"/>
    <w:bookmarkStart w:name="z622" w:id="601"/>
    <w:p>
      <w:pPr>
        <w:spacing w:after="0"/>
        <w:ind w:left="0"/>
        <w:jc w:val="both"/>
      </w:pPr>
      <w:r>
        <w:rPr>
          <w:rFonts w:ascii="Times New Roman"/>
          <w:b w:val="false"/>
          <w:i w:val="false"/>
          <w:color w:val="000000"/>
          <w:sz w:val="28"/>
        </w:rPr>
        <w:t>
      коэффициенты кредитной конверсии;</w:t>
      </w:r>
    </w:p>
    <w:bookmarkEnd w:id="601"/>
    <w:bookmarkStart w:name="z623" w:id="602"/>
    <w:p>
      <w:pPr>
        <w:spacing w:after="0"/>
        <w:ind w:left="0"/>
        <w:jc w:val="both"/>
      </w:pPr>
      <w:r>
        <w:rPr>
          <w:rFonts w:ascii="Times New Roman"/>
          <w:b w:val="false"/>
          <w:i w:val="false"/>
          <w:color w:val="000000"/>
          <w:sz w:val="28"/>
        </w:rPr>
        <w:t>
      суммы балансовых и внебалансовых обязательств заемщика (за последние 5 (пять) лет);</w:t>
      </w:r>
    </w:p>
    <w:bookmarkEnd w:id="602"/>
    <w:bookmarkStart w:name="z624" w:id="603"/>
    <w:p>
      <w:pPr>
        <w:spacing w:after="0"/>
        <w:ind w:left="0"/>
        <w:jc w:val="both"/>
      </w:pPr>
      <w:r>
        <w:rPr>
          <w:rFonts w:ascii="Times New Roman"/>
          <w:b w:val="false"/>
          <w:i w:val="false"/>
          <w:color w:val="000000"/>
          <w:sz w:val="28"/>
        </w:rPr>
        <w:t>
      списанные займы заемщика (за последние 5 (пять) лет);</w:t>
      </w:r>
    </w:p>
    <w:bookmarkEnd w:id="603"/>
    <w:bookmarkStart w:name="z625" w:id="604"/>
    <w:p>
      <w:pPr>
        <w:spacing w:after="0"/>
        <w:ind w:left="0"/>
        <w:jc w:val="both"/>
      </w:pPr>
      <w:r>
        <w:rPr>
          <w:rFonts w:ascii="Times New Roman"/>
          <w:b w:val="false"/>
          <w:i w:val="false"/>
          <w:color w:val="000000"/>
          <w:sz w:val="28"/>
        </w:rPr>
        <w:t>
      итоговое значение провизий (на уровне заемщика и на уровне обязательства);</w:t>
      </w:r>
    </w:p>
    <w:bookmarkEnd w:id="604"/>
    <w:bookmarkStart w:name="z626" w:id="605"/>
    <w:p>
      <w:pPr>
        <w:spacing w:after="0"/>
        <w:ind w:left="0"/>
        <w:jc w:val="both"/>
      </w:pPr>
      <w:r>
        <w:rPr>
          <w:rFonts w:ascii="Times New Roman"/>
          <w:b w:val="false"/>
          <w:i w:val="false"/>
          <w:color w:val="000000"/>
          <w:sz w:val="28"/>
        </w:rPr>
        <w:t>
      привязка к БИН или ИИН и внутренним уникальным идентификаторам (если они отличаются от БИН или ИИН) заемщика и займа и (или) внебалансового обязательства;</w:t>
      </w:r>
    </w:p>
    <w:bookmarkEnd w:id="605"/>
    <w:bookmarkStart w:name="z627" w:id="606"/>
    <w:p>
      <w:pPr>
        <w:spacing w:after="0"/>
        <w:ind w:left="0"/>
        <w:jc w:val="both"/>
      </w:pPr>
      <w:r>
        <w:rPr>
          <w:rFonts w:ascii="Times New Roman"/>
          <w:b w:val="false"/>
          <w:i w:val="false"/>
          <w:color w:val="000000"/>
          <w:sz w:val="28"/>
        </w:rPr>
        <w:t>
      привязка к БИН или ИИН и внутренним уникальным идентификаторам (если они отличаются от БИН или ИИН) всех созаемщиков и гарантов;</w:t>
      </w:r>
    </w:p>
    <w:bookmarkEnd w:id="606"/>
    <w:bookmarkStart w:name="z628" w:id="607"/>
    <w:p>
      <w:pPr>
        <w:spacing w:after="0"/>
        <w:ind w:left="0"/>
        <w:jc w:val="both"/>
      </w:pPr>
      <w:r>
        <w:rPr>
          <w:rFonts w:ascii="Times New Roman"/>
          <w:b w:val="false"/>
          <w:i w:val="false"/>
          <w:color w:val="000000"/>
          <w:sz w:val="28"/>
        </w:rPr>
        <w:t>
      привязка к уникальному идентификатору группы связанных заемщиков в соответствии с внутренними документами банка;</w:t>
      </w:r>
    </w:p>
    <w:bookmarkEnd w:id="607"/>
    <w:bookmarkStart w:name="z629" w:id="608"/>
    <w:p>
      <w:pPr>
        <w:spacing w:after="0"/>
        <w:ind w:left="0"/>
        <w:jc w:val="both"/>
      </w:pPr>
      <w:r>
        <w:rPr>
          <w:rFonts w:ascii="Times New Roman"/>
          <w:b w:val="false"/>
          <w:i w:val="false"/>
          <w:color w:val="000000"/>
          <w:sz w:val="28"/>
        </w:rPr>
        <w:t>
      привязка к БИН или ИИН участников группы связанных заемщиков в соответствии с внутренними документами банка;</w:t>
      </w:r>
    </w:p>
    <w:bookmarkEnd w:id="608"/>
    <w:bookmarkStart w:name="z630" w:id="609"/>
    <w:p>
      <w:pPr>
        <w:spacing w:after="0"/>
        <w:ind w:left="0"/>
        <w:jc w:val="both"/>
      </w:pPr>
      <w:r>
        <w:rPr>
          <w:rFonts w:ascii="Times New Roman"/>
          <w:b w:val="false"/>
          <w:i w:val="false"/>
          <w:color w:val="000000"/>
          <w:sz w:val="28"/>
        </w:rPr>
        <w:t>
      финансовые показатели заемщиков, требуемые для определения стадии обесценения и расчета провизий;</w:t>
      </w:r>
    </w:p>
    <w:bookmarkEnd w:id="609"/>
    <w:bookmarkStart w:name="z631" w:id="610"/>
    <w:p>
      <w:pPr>
        <w:spacing w:after="0"/>
        <w:ind w:left="0"/>
        <w:jc w:val="both"/>
      </w:pPr>
      <w:r>
        <w:rPr>
          <w:rFonts w:ascii="Times New Roman"/>
          <w:b w:val="false"/>
          <w:i w:val="false"/>
          <w:color w:val="000000"/>
          <w:sz w:val="28"/>
        </w:rPr>
        <w:t>
      признак принадлежности субъекта к категории предпринимательства согласно действующему законодательству Республики Казахстан;</w:t>
      </w:r>
    </w:p>
    <w:bookmarkEnd w:id="610"/>
    <w:bookmarkStart w:name="z632" w:id="611"/>
    <w:p>
      <w:pPr>
        <w:spacing w:after="0"/>
        <w:ind w:left="0"/>
        <w:jc w:val="both"/>
      </w:pPr>
      <w:r>
        <w:rPr>
          <w:rFonts w:ascii="Times New Roman"/>
          <w:b w:val="false"/>
          <w:i w:val="false"/>
          <w:color w:val="000000"/>
          <w:sz w:val="28"/>
        </w:rPr>
        <w:t>
      флаг принадлежности к списку лиц, связанных с банком особыми отношениями;</w:t>
      </w:r>
    </w:p>
    <w:bookmarkEnd w:id="611"/>
    <w:bookmarkStart w:name="z633" w:id="612"/>
    <w:p>
      <w:pPr>
        <w:spacing w:after="0"/>
        <w:ind w:left="0"/>
        <w:jc w:val="both"/>
      </w:pPr>
      <w:r>
        <w:rPr>
          <w:rFonts w:ascii="Times New Roman"/>
          <w:b w:val="false"/>
          <w:i w:val="false"/>
          <w:color w:val="000000"/>
          <w:sz w:val="28"/>
        </w:rPr>
        <w:t>
      флаг реструктуризации и (или) вынужденной реструктуризации;</w:t>
      </w:r>
    </w:p>
    <w:bookmarkEnd w:id="612"/>
    <w:bookmarkStart w:name="z634" w:id="613"/>
    <w:p>
      <w:pPr>
        <w:spacing w:after="0"/>
        <w:ind w:left="0"/>
        <w:jc w:val="both"/>
      </w:pPr>
      <w:r>
        <w:rPr>
          <w:rFonts w:ascii="Times New Roman"/>
          <w:b w:val="false"/>
          <w:i w:val="false"/>
          <w:color w:val="000000"/>
          <w:sz w:val="28"/>
        </w:rPr>
        <w:t>
      все даты проведения реструктуризаций по займу и заемщику по займам в данном банке.</w:t>
      </w:r>
    </w:p>
    <w:bookmarkEnd w:id="613"/>
    <w:bookmarkStart w:name="z635" w:id="614"/>
    <w:p>
      <w:pPr>
        <w:spacing w:after="0"/>
        <w:ind w:left="0"/>
        <w:jc w:val="both"/>
      </w:pPr>
      <w:r>
        <w:rPr>
          <w:rFonts w:ascii="Times New Roman"/>
          <w:b w:val="false"/>
          <w:i w:val="false"/>
          <w:color w:val="000000"/>
          <w:sz w:val="28"/>
        </w:rPr>
        <w:t>
      Системы банка фиксируют и сохраняют в системах факт события значительного увеличения кредитного риска и события, являющегося объективным подтверждением обесценения по МСФО для всех заемщиков, их балансовых и внебалансовых обязательств и портфелей банка;</w:t>
      </w:r>
    </w:p>
    <w:bookmarkEnd w:id="614"/>
    <w:bookmarkStart w:name="z636" w:id="615"/>
    <w:p>
      <w:pPr>
        <w:spacing w:after="0"/>
        <w:ind w:left="0"/>
        <w:jc w:val="both"/>
      </w:pPr>
      <w:r>
        <w:rPr>
          <w:rFonts w:ascii="Times New Roman"/>
          <w:b w:val="false"/>
          <w:i w:val="false"/>
          <w:color w:val="000000"/>
          <w:sz w:val="28"/>
        </w:rPr>
        <w:t>
      8) наличие процедуры валидации моделей оценки кредитного риска.</w:t>
      </w:r>
    </w:p>
    <w:bookmarkEnd w:id="615"/>
    <w:bookmarkStart w:name="z637" w:id="616"/>
    <w:p>
      <w:pPr>
        <w:spacing w:after="0"/>
        <w:ind w:left="0"/>
        <w:jc w:val="both"/>
      </w:pPr>
      <w:r>
        <w:rPr>
          <w:rFonts w:ascii="Times New Roman"/>
          <w:b w:val="false"/>
          <w:i w:val="false"/>
          <w:color w:val="000000"/>
          <w:sz w:val="28"/>
        </w:rPr>
        <w:t>
      В целях обеспечения адекватности оценки кредитного риска с применением моделей банк регламентирует процессы их валидации, проведения бэк-тестинга, допустимые уровни отклонений от запланированного уровня рисков. В случае отклонения от запланированного уровня рисков банк разрабатывает план корректирующих мер.</w:t>
      </w:r>
    </w:p>
    <w:bookmarkEnd w:id="616"/>
    <w:bookmarkStart w:name="z638" w:id="617"/>
    <w:p>
      <w:pPr>
        <w:spacing w:after="0"/>
        <w:ind w:left="0"/>
        <w:jc w:val="both"/>
      </w:pPr>
      <w:r>
        <w:rPr>
          <w:rFonts w:ascii="Times New Roman"/>
          <w:b w:val="false"/>
          <w:i w:val="false"/>
          <w:color w:val="000000"/>
          <w:sz w:val="28"/>
        </w:rPr>
        <w:t>
      Валидация осуществляется посредством одного или нескольких следующих методов:</w:t>
      </w:r>
    </w:p>
    <w:bookmarkEnd w:id="617"/>
    <w:bookmarkStart w:name="z639" w:id="618"/>
    <w:p>
      <w:pPr>
        <w:spacing w:after="0"/>
        <w:ind w:left="0"/>
        <w:jc w:val="both"/>
      </w:pPr>
      <w:r>
        <w:rPr>
          <w:rFonts w:ascii="Times New Roman"/>
          <w:b w:val="false"/>
          <w:i w:val="false"/>
          <w:color w:val="000000"/>
          <w:sz w:val="28"/>
        </w:rPr>
        <w:t>
      проверка дискриминационной способности модели;</w:t>
      </w:r>
    </w:p>
    <w:bookmarkEnd w:id="618"/>
    <w:bookmarkStart w:name="z640" w:id="619"/>
    <w:p>
      <w:pPr>
        <w:spacing w:after="0"/>
        <w:ind w:left="0"/>
        <w:jc w:val="both"/>
      </w:pPr>
      <w:r>
        <w:rPr>
          <w:rFonts w:ascii="Times New Roman"/>
          <w:b w:val="false"/>
          <w:i w:val="false"/>
          <w:color w:val="000000"/>
          <w:sz w:val="28"/>
        </w:rPr>
        <w:t>
      оценка прогнозной точности модели;</w:t>
      </w:r>
    </w:p>
    <w:bookmarkEnd w:id="619"/>
    <w:bookmarkStart w:name="z641" w:id="620"/>
    <w:p>
      <w:pPr>
        <w:spacing w:after="0"/>
        <w:ind w:left="0"/>
        <w:jc w:val="both"/>
      </w:pPr>
      <w:r>
        <w:rPr>
          <w:rFonts w:ascii="Times New Roman"/>
          <w:b w:val="false"/>
          <w:i w:val="false"/>
          <w:color w:val="000000"/>
          <w:sz w:val="28"/>
        </w:rPr>
        <w:t>
      анализ миграции рейтингов;</w:t>
      </w:r>
    </w:p>
    <w:bookmarkEnd w:id="620"/>
    <w:bookmarkStart w:name="z642" w:id="621"/>
    <w:p>
      <w:pPr>
        <w:spacing w:after="0"/>
        <w:ind w:left="0"/>
        <w:jc w:val="both"/>
      </w:pPr>
      <w:r>
        <w:rPr>
          <w:rFonts w:ascii="Times New Roman"/>
          <w:b w:val="false"/>
          <w:i w:val="false"/>
          <w:color w:val="000000"/>
          <w:sz w:val="28"/>
        </w:rPr>
        <w:t>
      сравнительный анализ рейтингов.</w:t>
      </w:r>
    </w:p>
    <w:bookmarkEnd w:id="621"/>
    <w:bookmarkStart w:name="z643" w:id="622"/>
    <w:p>
      <w:pPr>
        <w:spacing w:after="0"/>
        <w:ind w:left="0"/>
        <w:jc w:val="both"/>
      </w:pPr>
      <w:r>
        <w:rPr>
          <w:rFonts w:ascii="Times New Roman"/>
          <w:b w:val="false"/>
          <w:i w:val="false"/>
          <w:color w:val="000000"/>
          <w:sz w:val="28"/>
        </w:rPr>
        <w:t>
      Валидация осуществляется не реже 1 (одного) раза в 4 (четыре) года независимым подразделением банка либо с привлечением независимой третьей стороны. Частота проведения валидации зависит от текущей рыночной ситуации, стратегии, объема активов, уровня сложности операций банка, увеличивается в случае существенных изменений в экономике или во внутренних процессах кредитования банка. Результаты валидации предоставляются комитету по вопросам управления рисками.</w:t>
      </w:r>
    </w:p>
    <w:bookmarkEnd w:id="622"/>
    <w:bookmarkStart w:name="z644" w:id="623"/>
    <w:p>
      <w:pPr>
        <w:spacing w:after="0"/>
        <w:ind w:left="0"/>
        <w:jc w:val="both"/>
      </w:pPr>
      <w:r>
        <w:rPr>
          <w:rFonts w:ascii="Times New Roman"/>
          <w:b w:val="false"/>
          <w:i w:val="false"/>
          <w:color w:val="000000"/>
          <w:sz w:val="28"/>
        </w:rPr>
        <w:t>
      Внутренняя валидация скоринговых моделей проводится независимым подразделением банка не реже 1 (одного) раза в 1 (один) год.</w:t>
      </w:r>
    </w:p>
    <w:bookmarkEnd w:id="623"/>
    <w:bookmarkStart w:name="z645" w:id="624"/>
    <w:p>
      <w:pPr>
        <w:spacing w:after="0"/>
        <w:ind w:left="0"/>
        <w:jc w:val="both"/>
      </w:pPr>
      <w:r>
        <w:rPr>
          <w:rFonts w:ascii="Times New Roman"/>
          <w:b w:val="false"/>
          <w:i w:val="false"/>
          <w:color w:val="000000"/>
          <w:sz w:val="28"/>
        </w:rPr>
        <w:t>
      Внутренняя валидация скоринговых моделей проводится независимым подразделением банка при формализации во внутренних документах банка полного процесса валидации, включая, но не ограничиваясь, детально описанный процесс валидации параметров, используемых в расчете провизий (участники, периметр проверки, области проверки, критерии подготовки суждений, формат представления результатов, сроки).</w:t>
      </w:r>
    </w:p>
    <w:bookmarkEnd w:id="624"/>
    <w:bookmarkStart w:name="z646" w:id="625"/>
    <w:p>
      <w:pPr>
        <w:spacing w:after="0"/>
        <w:ind w:left="0"/>
        <w:jc w:val="both"/>
      </w:pPr>
      <w:r>
        <w:rPr>
          <w:rFonts w:ascii="Times New Roman"/>
          <w:b w:val="false"/>
          <w:i w:val="false"/>
          <w:color w:val="000000"/>
          <w:sz w:val="28"/>
        </w:rPr>
        <w:t>
      Независимое подразделение банка, ответственное за валидацию, формирует заключение по каждому проверенному параметру с описанием процесса проверки, раскрытием результатов и степени значимости.</w:t>
      </w:r>
    </w:p>
    <w:bookmarkEnd w:id="625"/>
    <w:bookmarkStart w:name="z647" w:id="626"/>
    <w:p>
      <w:pPr>
        <w:spacing w:after="0"/>
        <w:ind w:left="0"/>
        <w:jc w:val="both"/>
      </w:pPr>
      <w:r>
        <w:rPr>
          <w:rFonts w:ascii="Times New Roman"/>
          <w:b w:val="false"/>
          <w:i w:val="false"/>
          <w:color w:val="000000"/>
          <w:sz w:val="28"/>
        </w:rPr>
        <w:t>
      Результаты валидации с подробным обоснованием предоставляются комитету по вопросам управления рисками.</w:t>
      </w:r>
    </w:p>
    <w:bookmarkEnd w:id="626"/>
    <w:bookmarkStart w:name="z648" w:id="627"/>
    <w:p>
      <w:pPr>
        <w:spacing w:after="0"/>
        <w:ind w:left="0"/>
        <w:jc w:val="both"/>
      </w:pPr>
      <w:r>
        <w:rPr>
          <w:rFonts w:ascii="Times New Roman"/>
          <w:b w:val="false"/>
          <w:i w:val="false"/>
          <w:color w:val="000000"/>
          <w:sz w:val="28"/>
        </w:rPr>
        <w:t>
      По результатам рассмотрения результатов валидации комитет по вопросам управления рисками составляет протокол, включающий заключение по вопросу необходимости или отсутствия необходимости внесения изменений в модель.</w:t>
      </w:r>
    </w:p>
    <w:bookmarkEnd w:id="627"/>
    <w:bookmarkStart w:name="z649" w:id="628"/>
    <w:p>
      <w:pPr>
        <w:spacing w:after="0"/>
        <w:ind w:left="0"/>
        <w:jc w:val="both"/>
      </w:pPr>
      <w:r>
        <w:rPr>
          <w:rFonts w:ascii="Times New Roman"/>
          <w:b w:val="false"/>
          <w:i w:val="false"/>
          <w:color w:val="000000"/>
          <w:sz w:val="28"/>
        </w:rPr>
        <w:t>
      В рамках валидации модели требуется провести, в том числе:</w:t>
      </w:r>
    </w:p>
    <w:bookmarkEnd w:id="628"/>
    <w:bookmarkStart w:name="z650" w:id="629"/>
    <w:p>
      <w:pPr>
        <w:spacing w:after="0"/>
        <w:ind w:left="0"/>
        <w:jc w:val="both"/>
      </w:pPr>
      <w:r>
        <w:rPr>
          <w:rFonts w:ascii="Times New Roman"/>
          <w:b w:val="false"/>
          <w:i w:val="false"/>
          <w:color w:val="000000"/>
          <w:sz w:val="28"/>
        </w:rPr>
        <w:t>
      проверку соответствия модели регуляторным требованиям;</w:t>
      </w:r>
    </w:p>
    <w:bookmarkEnd w:id="629"/>
    <w:bookmarkStart w:name="z651" w:id="630"/>
    <w:p>
      <w:pPr>
        <w:spacing w:after="0"/>
        <w:ind w:left="0"/>
        <w:jc w:val="both"/>
      </w:pPr>
      <w:r>
        <w:rPr>
          <w:rFonts w:ascii="Times New Roman"/>
          <w:b w:val="false"/>
          <w:i w:val="false"/>
          <w:color w:val="000000"/>
          <w:sz w:val="28"/>
        </w:rPr>
        <w:t>
      бэк-тестинг модели для определения точности предсказаний модели (проверка точности модели на выборках, отличных от той, на которой модель разрабатывалась). Банк осуществляет проверку релевантности модели на основе наиболее поздних наблюдений;</w:t>
      </w:r>
    </w:p>
    <w:bookmarkEnd w:id="630"/>
    <w:bookmarkStart w:name="z652" w:id="631"/>
    <w:p>
      <w:pPr>
        <w:spacing w:after="0"/>
        <w:ind w:left="0"/>
        <w:jc w:val="both"/>
      </w:pPr>
      <w:r>
        <w:rPr>
          <w:rFonts w:ascii="Times New Roman"/>
          <w:b w:val="false"/>
          <w:i w:val="false"/>
          <w:color w:val="000000"/>
          <w:sz w:val="28"/>
        </w:rPr>
        <w:t>
      проверку глубины и качества данных, использованных при разработке моделей. В рамках проверки требуется убедиться в том, что при разработке моделей использовался временной период достаточной длины;</w:t>
      </w:r>
    </w:p>
    <w:bookmarkEnd w:id="631"/>
    <w:bookmarkStart w:name="z653" w:id="632"/>
    <w:p>
      <w:pPr>
        <w:spacing w:after="0"/>
        <w:ind w:left="0"/>
        <w:jc w:val="both"/>
      </w:pPr>
      <w:r>
        <w:rPr>
          <w:rFonts w:ascii="Times New Roman"/>
          <w:b w:val="false"/>
          <w:i w:val="false"/>
          <w:color w:val="000000"/>
          <w:sz w:val="28"/>
        </w:rPr>
        <w:t>
      проверку модели на соответствие другим моделям оценки риск-метрик;</w:t>
      </w:r>
    </w:p>
    <w:bookmarkEnd w:id="632"/>
    <w:bookmarkStart w:name="z654" w:id="633"/>
    <w:p>
      <w:pPr>
        <w:spacing w:after="0"/>
        <w:ind w:left="0"/>
        <w:jc w:val="both"/>
      </w:pPr>
      <w:r>
        <w:rPr>
          <w:rFonts w:ascii="Times New Roman"/>
          <w:b w:val="false"/>
          <w:i w:val="false"/>
          <w:color w:val="000000"/>
          <w:sz w:val="28"/>
        </w:rPr>
        <w:t>
      9) применение адекватных и обоснованных экспертных оценок при осуществлении оценки кредитного риска.</w:t>
      </w:r>
    </w:p>
    <w:bookmarkEnd w:id="633"/>
    <w:bookmarkStart w:name="z655" w:id="634"/>
    <w:p>
      <w:pPr>
        <w:spacing w:after="0"/>
        <w:ind w:left="0"/>
        <w:jc w:val="both"/>
      </w:pPr>
      <w:r>
        <w:rPr>
          <w:rFonts w:ascii="Times New Roman"/>
          <w:b w:val="false"/>
          <w:i w:val="false"/>
          <w:color w:val="000000"/>
          <w:sz w:val="28"/>
        </w:rPr>
        <w:t>
      В ситуациях, когда необходимо применение экспертных оценок, банк обеспечивает:</w:t>
      </w:r>
    </w:p>
    <w:bookmarkEnd w:id="634"/>
    <w:bookmarkStart w:name="z656" w:id="635"/>
    <w:p>
      <w:pPr>
        <w:spacing w:after="0"/>
        <w:ind w:left="0"/>
        <w:jc w:val="both"/>
      </w:pPr>
      <w:r>
        <w:rPr>
          <w:rFonts w:ascii="Times New Roman"/>
          <w:b w:val="false"/>
          <w:i w:val="false"/>
          <w:color w:val="000000"/>
          <w:sz w:val="28"/>
        </w:rPr>
        <w:t>
      регламентированный процесс применения экспертных оценок, с указанием лимитов применения таких оценок;</w:t>
      </w:r>
    </w:p>
    <w:bookmarkEnd w:id="635"/>
    <w:bookmarkStart w:name="z657" w:id="636"/>
    <w:p>
      <w:pPr>
        <w:spacing w:after="0"/>
        <w:ind w:left="0"/>
        <w:jc w:val="both"/>
      </w:pPr>
      <w:r>
        <w:rPr>
          <w:rFonts w:ascii="Times New Roman"/>
          <w:b w:val="false"/>
          <w:i w:val="false"/>
          <w:color w:val="000000"/>
          <w:sz w:val="28"/>
        </w:rPr>
        <w:t>
      достаточный уровень компетенции работников, проводящих экспертную оценку;</w:t>
      </w:r>
    </w:p>
    <w:bookmarkEnd w:id="636"/>
    <w:bookmarkStart w:name="z658" w:id="637"/>
    <w:p>
      <w:pPr>
        <w:spacing w:after="0"/>
        <w:ind w:left="0"/>
        <w:jc w:val="both"/>
      </w:pPr>
      <w:r>
        <w:rPr>
          <w:rFonts w:ascii="Times New Roman"/>
          <w:b w:val="false"/>
          <w:i w:val="false"/>
          <w:color w:val="000000"/>
          <w:sz w:val="28"/>
        </w:rPr>
        <w:t>
      единообразный подход в применении экспертных оценок. При одинаковых условиях экспертные оценки не имеют значительных отклонений;</w:t>
      </w:r>
    </w:p>
    <w:bookmarkEnd w:id="637"/>
    <w:bookmarkStart w:name="z659" w:id="638"/>
    <w:p>
      <w:pPr>
        <w:spacing w:after="0"/>
        <w:ind w:left="0"/>
        <w:jc w:val="both"/>
      </w:pPr>
      <w:r>
        <w:rPr>
          <w:rFonts w:ascii="Times New Roman"/>
          <w:b w:val="false"/>
          <w:i w:val="false"/>
          <w:color w:val="000000"/>
          <w:sz w:val="28"/>
        </w:rPr>
        <w:t>
      экспертная оценка осуществляется на основе обоснованных и задокументированных допущений, с применением должной осторожности.</w:t>
      </w:r>
    </w:p>
    <w:bookmarkEnd w:id="638"/>
    <w:bookmarkStart w:name="z660" w:id="639"/>
    <w:p>
      <w:pPr>
        <w:spacing w:after="0"/>
        <w:ind w:left="0"/>
        <w:jc w:val="both"/>
      </w:pPr>
      <w:r>
        <w:rPr>
          <w:rFonts w:ascii="Times New Roman"/>
          <w:b w:val="false"/>
          <w:i w:val="false"/>
          <w:color w:val="000000"/>
          <w:sz w:val="28"/>
        </w:rPr>
        <w:t>
      Применение банком экспертных оценок с учетом исторических данных дополняется анализом текущей рыночной и экономической ситуацией, в частности (по применимости):</w:t>
      </w:r>
    </w:p>
    <w:bookmarkEnd w:id="639"/>
    <w:bookmarkStart w:name="z661" w:id="640"/>
    <w:p>
      <w:pPr>
        <w:spacing w:after="0"/>
        <w:ind w:left="0"/>
        <w:jc w:val="both"/>
      </w:pPr>
      <w:r>
        <w:rPr>
          <w:rFonts w:ascii="Times New Roman"/>
          <w:b w:val="false"/>
          <w:i w:val="false"/>
          <w:color w:val="000000"/>
          <w:sz w:val="28"/>
        </w:rPr>
        <w:t>
      изменениями в процессах предоставления займов, стандартов и практик принятия решений, возвратов, списаний;</w:t>
      </w:r>
    </w:p>
    <w:bookmarkEnd w:id="640"/>
    <w:bookmarkStart w:name="z662" w:id="641"/>
    <w:p>
      <w:pPr>
        <w:spacing w:after="0"/>
        <w:ind w:left="0"/>
        <w:jc w:val="both"/>
      </w:pPr>
      <w:r>
        <w:rPr>
          <w:rFonts w:ascii="Times New Roman"/>
          <w:b w:val="false"/>
          <w:i w:val="false"/>
          <w:color w:val="000000"/>
          <w:sz w:val="28"/>
        </w:rPr>
        <w:t>
      изменениями внешних и внутренних экономических факторов, бизнес среды, с учетом динамики;</w:t>
      </w:r>
    </w:p>
    <w:bookmarkEnd w:id="641"/>
    <w:bookmarkStart w:name="z663" w:id="642"/>
    <w:p>
      <w:pPr>
        <w:spacing w:after="0"/>
        <w:ind w:left="0"/>
        <w:jc w:val="both"/>
      </w:pPr>
      <w:r>
        <w:rPr>
          <w:rFonts w:ascii="Times New Roman"/>
          <w:b w:val="false"/>
          <w:i w:val="false"/>
          <w:color w:val="000000"/>
          <w:sz w:val="28"/>
        </w:rPr>
        <w:t>
      изменениями уровня неработающих и реструктурированных займов;</w:t>
      </w:r>
    </w:p>
    <w:bookmarkEnd w:id="642"/>
    <w:bookmarkStart w:name="z664" w:id="643"/>
    <w:p>
      <w:pPr>
        <w:spacing w:after="0"/>
        <w:ind w:left="0"/>
        <w:jc w:val="both"/>
      </w:pPr>
      <w:r>
        <w:rPr>
          <w:rFonts w:ascii="Times New Roman"/>
          <w:b w:val="false"/>
          <w:i w:val="false"/>
          <w:color w:val="000000"/>
          <w:sz w:val="28"/>
        </w:rPr>
        <w:t>
      появлением новых сегментов рынка и продуктов;</w:t>
      </w:r>
    </w:p>
    <w:bookmarkEnd w:id="643"/>
    <w:bookmarkStart w:name="z665" w:id="644"/>
    <w:p>
      <w:pPr>
        <w:spacing w:after="0"/>
        <w:ind w:left="0"/>
        <w:jc w:val="both"/>
      </w:pPr>
      <w:r>
        <w:rPr>
          <w:rFonts w:ascii="Times New Roman"/>
          <w:b w:val="false"/>
          <w:i w:val="false"/>
          <w:color w:val="000000"/>
          <w:sz w:val="28"/>
        </w:rPr>
        <w:t>
      изменениями концентрации кредитного риска;</w:t>
      </w:r>
    </w:p>
    <w:bookmarkEnd w:id="644"/>
    <w:bookmarkStart w:name="z666" w:id="645"/>
    <w:p>
      <w:pPr>
        <w:spacing w:after="0"/>
        <w:ind w:left="0"/>
        <w:jc w:val="both"/>
      </w:pPr>
      <w:r>
        <w:rPr>
          <w:rFonts w:ascii="Times New Roman"/>
          <w:b w:val="false"/>
          <w:i w:val="false"/>
          <w:color w:val="000000"/>
          <w:sz w:val="28"/>
        </w:rPr>
        <w:t>
      10) наличие необходимых инструментов, включая совокупность инструментов хранения данных, обеспечивающую полную и достоверную информацию о займах (включая дебиторскую задолженность и условные обязательства), а также иных операциях, которым присущ кредитный риск, которые позволяют корректно оценить уровень кредитного риска.</w:t>
      </w:r>
    </w:p>
    <w:bookmarkEnd w:id="645"/>
    <w:bookmarkStart w:name="z667" w:id="646"/>
    <w:p>
      <w:pPr>
        <w:spacing w:after="0"/>
        <w:ind w:left="0"/>
        <w:jc w:val="both"/>
      </w:pPr>
      <w:r>
        <w:rPr>
          <w:rFonts w:ascii="Times New Roman"/>
          <w:b w:val="false"/>
          <w:i w:val="false"/>
          <w:color w:val="000000"/>
          <w:sz w:val="28"/>
        </w:rPr>
        <w:t>
      Банк осуществляет кредитное администрирование в соответствии с процедурами, которые включают, но не ограничиваются следующим:</w:t>
      </w:r>
    </w:p>
    <w:bookmarkEnd w:id="646"/>
    <w:bookmarkStart w:name="z668" w:id="647"/>
    <w:p>
      <w:pPr>
        <w:spacing w:after="0"/>
        <w:ind w:left="0"/>
        <w:jc w:val="both"/>
      </w:pPr>
      <w:r>
        <w:rPr>
          <w:rFonts w:ascii="Times New Roman"/>
          <w:b w:val="false"/>
          <w:i w:val="false"/>
          <w:color w:val="000000"/>
          <w:sz w:val="28"/>
        </w:rPr>
        <w:t>
      проверка соответствия представленных кредитных документов условиям предоставления кредитов;</w:t>
      </w:r>
    </w:p>
    <w:bookmarkEnd w:id="647"/>
    <w:bookmarkStart w:name="z669" w:id="648"/>
    <w:p>
      <w:pPr>
        <w:spacing w:after="0"/>
        <w:ind w:left="0"/>
        <w:jc w:val="both"/>
      </w:pPr>
      <w:r>
        <w:rPr>
          <w:rFonts w:ascii="Times New Roman"/>
          <w:b w:val="false"/>
          <w:i w:val="false"/>
          <w:color w:val="000000"/>
          <w:sz w:val="28"/>
        </w:rPr>
        <w:t>
      проверка соответствия кредитных договоров принятым решениям;</w:t>
      </w:r>
    </w:p>
    <w:bookmarkEnd w:id="648"/>
    <w:bookmarkStart w:name="z670" w:id="649"/>
    <w:p>
      <w:pPr>
        <w:spacing w:after="0"/>
        <w:ind w:left="0"/>
        <w:jc w:val="both"/>
      </w:pPr>
      <w:r>
        <w:rPr>
          <w:rFonts w:ascii="Times New Roman"/>
          <w:b w:val="false"/>
          <w:i w:val="false"/>
          <w:color w:val="000000"/>
          <w:sz w:val="28"/>
        </w:rPr>
        <w:t>
      формирование и ведение кредитного досье.</w:t>
      </w:r>
    </w:p>
    <w:bookmarkEnd w:id="649"/>
    <w:bookmarkStart w:name="z671" w:id="650"/>
    <w:p>
      <w:pPr>
        <w:spacing w:after="0"/>
        <w:ind w:left="0"/>
        <w:jc w:val="both"/>
      </w:pPr>
      <w:r>
        <w:rPr>
          <w:rFonts w:ascii="Times New Roman"/>
          <w:b w:val="false"/>
          <w:i w:val="false"/>
          <w:color w:val="000000"/>
          <w:sz w:val="28"/>
        </w:rPr>
        <w:t>
      Допускается формирование кредитного досье (части кредитного досье) в электронном виде. Кредитное досье содержит (включая, но не ограничиваясь):</w:t>
      </w:r>
    </w:p>
    <w:bookmarkEnd w:id="650"/>
    <w:bookmarkStart w:name="z672" w:id="651"/>
    <w:p>
      <w:pPr>
        <w:spacing w:after="0"/>
        <w:ind w:left="0"/>
        <w:jc w:val="both"/>
      </w:pPr>
      <w:r>
        <w:rPr>
          <w:rFonts w:ascii="Times New Roman"/>
          <w:b w:val="false"/>
          <w:i w:val="false"/>
          <w:color w:val="000000"/>
          <w:sz w:val="28"/>
        </w:rPr>
        <w:t>
      документы по идентификации заемщика:</w:t>
      </w:r>
    </w:p>
    <w:bookmarkEnd w:id="651"/>
    <w:bookmarkStart w:name="z673" w:id="652"/>
    <w:p>
      <w:pPr>
        <w:spacing w:after="0"/>
        <w:ind w:left="0"/>
        <w:jc w:val="both"/>
      </w:pPr>
      <w:r>
        <w:rPr>
          <w:rFonts w:ascii="Times New Roman"/>
          <w:b w:val="false"/>
          <w:i w:val="false"/>
          <w:color w:val="000000"/>
          <w:sz w:val="28"/>
        </w:rPr>
        <w:t xml:space="preserve">
      к данной группе относятся документы, удостоверяющие личность физического лица, документы, связанные с образованием юридического лица (с раскрытием конечных собственников-физических лиц, владеющих прямо или косвенно десятью и более процентами акций или долей участия, за исключением случаев, установленных </w:t>
      </w:r>
      <w:r>
        <w:rPr>
          <w:rFonts w:ascii="Times New Roman"/>
          <w:b w:val="false"/>
          <w:i w:val="false"/>
          <w:color w:val="000000"/>
          <w:sz w:val="28"/>
        </w:rPr>
        <w:t>пунктом 3</w:t>
      </w:r>
      <w:r>
        <w:rPr>
          <w:rFonts w:ascii="Times New Roman"/>
          <w:b w:val="false"/>
          <w:i w:val="false"/>
          <w:color w:val="000000"/>
          <w:sz w:val="28"/>
        </w:rPr>
        <w:t xml:space="preserve"> статьи 8-1 Закона о банках), подтверждением его правосубъектности, а также документы, подтверждающие полномочия лиц, действующих от имени заемщика и уполномоченные подписывать кредитную и залоговую документацию от имени заемщика.</w:t>
      </w:r>
    </w:p>
    <w:bookmarkEnd w:id="652"/>
    <w:bookmarkStart w:name="z674" w:id="653"/>
    <w:p>
      <w:pPr>
        <w:spacing w:after="0"/>
        <w:ind w:left="0"/>
        <w:jc w:val="both"/>
      </w:pPr>
      <w:r>
        <w:rPr>
          <w:rFonts w:ascii="Times New Roman"/>
          <w:b w:val="false"/>
          <w:i w:val="false"/>
          <w:color w:val="000000"/>
          <w:sz w:val="28"/>
        </w:rPr>
        <w:t>
      Документация, относящаяся к определению целевого использования (за исключением овердрафтов, потребительских кредитов без подтверждения целевого использования совокупной суммой менее 0,2 (ноль целых два десятых) процента от собственного капитала банка и кредитов на цели пополнения оборотных средств совокупной суммой менее 0,2 (ноль целых два десятых) процента от собственного капитала банка, синдицированных займов с участием банков-нерезидентов Республики Казахстан):</w:t>
      </w:r>
    </w:p>
    <w:bookmarkEnd w:id="653"/>
    <w:bookmarkStart w:name="z675" w:id="654"/>
    <w:p>
      <w:pPr>
        <w:spacing w:after="0"/>
        <w:ind w:left="0"/>
        <w:jc w:val="both"/>
      </w:pPr>
      <w:r>
        <w:rPr>
          <w:rFonts w:ascii="Times New Roman"/>
          <w:b w:val="false"/>
          <w:i w:val="false"/>
          <w:color w:val="000000"/>
          <w:sz w:val="28"/>
        </w:rPr>
        <w:t>
      к данной группе относятся документы и информация по сделке, в целях совершения которой запрашивается финансирование (включая первоначальные цели финансирования в случае реструктуризации и (или) рефинансирования), в том числе по крупным заемщикам:</w:t>
      </w:r>
    </w:p>
    <w:bookmarkEnd w:id="654"/>
    <w:bookmarkStart w:name="z676" w:id="655"/>
    <w:p>
      <w:pPr>
        <w:spacing w:after="0"/>
        <w:ind w:left="0"/>
        <w:jc w:val="both"/>
      </w:pPr>
      <w:r>
        <w:rPr>
          <w:rFonts w:ascii="Times New Roman"/>
          <w:b w:val="false"/>
          <w:i w:val="false"/>
          <w:color w:val="000000"/>
          <w:sz w:val="28"/>
        </w:rPr>
        <w:t>
      документы, подтверждающие цель использования займа, в том числе для юридических лиц - договоры поставки, купли-продажи, внешнеторговые контракты;</w:t>
      </w:r>
    </w:p>
    <w:bookmarkEnd w:id="655"/>
    <w:bookmarkStart w:name="z677" w:id="656"/>
    <w:p>
      <w:pPr>
        <w:spacing w:after="0"/>
        <w:ind w:left="0"/>
        <w:jc w:val="both"/>
      </w:pPr>
      <w:r>
        <w:rPr>
          <w:rFonts w:ascii="Times New Roman"/>
          <w:b w:val="false"/>
          <w:i w:val="false"/>
          <w:color w:val="000000"/>
          <w:sz w:val="28"/>
        </w:rPr>
        <w:t>
      для юридического лица, сумма займов и условных обязательств по которому превышает, для банков, размер собственного капитала которых превышает 100 (сто) миллиардов тенге - 0,1 (ноль целых одна десятая) процента от собственного капитала банка, для банков, размер собственного капитала которых не превышает 100 (сто) миллиардов тенге - 0,2 (ноль целых две десятые) процента от собственного капитала банка - технико-экономическое обоснование выдачи займа, характеризующее сроки окупаемости и уровень рентабельности кредитуемой сделки, либо бизнес-план заемщика, который отражает информацию об описании деятельности с указанием целей использования займа, рынки сбыта и маркетинговую стратегию заемщика, оценку рисков и управления ими, детализированный по годам финансовый план (финансовые показатели реализации бизнес-плана по годам, источники и объем финансирования бизнес-плана и погашения займа), смету доходов (расходов) (для займов, связанных с инвестиционными целями, стартап проектов или займов, основным источником погашения которых планируются поступления от реализации товаров и (или) услуг, приобретенных за счет кредитных средств).</w:t>
      </w:r>
    </w:p>
    <w:bookmarkEnd w:id="656"/>
    <w:bookmarkStart w:name="z678" w:id="657"/>
    <w:p>
      <w:pPr>
        <w:spacing w:after="0"/>
        <w:ind w:left="0"/>
        <w:jc w:val="both"/>
      </w:pPr>
      <w:r>
        <w:rPr>
          <w:rFonts w:ascii="Times New Roman"/>
          <w:b w:val="false"/>
          <w:i w:val="false"/>
          <w:color w:val="000000"/>
          <w:sz w:val="28"/>
        </w:rPr>
        <w:t>
      Для целей настоящего пункта:</w:t>
      </w:r>
    </w:p>
    <w:bookmarkEnd w:id="657"/>
    <w:bookmarkStart w:name="z679" w:id="658"/>
    <w:p>
      <w:pPr>
        <w:spacing w:after="0"/>
        <w:ind w:left="0"/>
        <w:jc w:val="both"/>
      </w:pPr>
      <w:r>
        <w:rPr>
          <w:rFonts w:ascii="Times New Roman"/>
          <w:b w:val="false"/>
          <w:i w:val="false"/>
          <w:color w:val="000000"/>
          <w:sz w:val="28"/>
        </w:rPr>
        <w:t>
      под кредитом на пополнение оборотных средств понимается кредит, предоставленный для финансирования текущих производственных процессов;</w:t>
      </w:r>
    </w:p>
    <w:bookmarkEnd w:id="658"/>
    <w:bookmarkStart w:name="z680" w:id="659"/>
    <w:p>
      <w:pPr>
        <w:spacing w:after="0"/>
        <w:ind w:left="0"/>
        <w:jc w:val="both"/>
      </w:pPr>
      <w:r>
        <w:rPr>
          <w:rFonts w:ascii="Times New Roman"/>
          <w:b w:val="false"/>
          <w:i w:val="false"/>
          <w:color w:val="000000"/>
          <w:sz w:val="28"/>
        </w:rPr>
        <w:t>
      под потребительским кредитом понимается кредит, предоставленный физическому лицу или индивидуальному предпринимателю без образования юридического лица и соответствующий следующим критериям:</w:t>
      </w:r>
    </w:p>
    <w:bookmarkEnd w:id="659"/>
    <w:bookmarkStart w:name="z681" w:id="660"/>
    <w:p>
      <w:pPr>
        <w:spacing w:after="0"/>
        <w:ind w:left="0"/>
        <w:jc w:val="both"/>
      </w:pPr>
      <w:r>
        <w:rPr>
          <w:rFonts w:ascii="Times New Roman"/>
          <w:b w:val="false"/>
          <w:i w:val="false"/>
          <w:color w:val="000000"/>
          <w:sz w:val="28"/>
        </w:rPr>
        <w:t>
      выдача кредита не связана с целью финансирования предпринимательской деятельности и предполагается, что кредит не будет использован заемщиком для осуществления предпринимательской деятельности;</w:t>
      </w:r>
    </w:p>
    <w:bookmarkEnd w:id="660"/>
    <w:bookmarkStart w:name="z682" w:id="661"/>
    <w:p>
      <w:pPr>
        <w:spacing w:after="0"/>
        <w:ind w:left="0"/>
        <w:jc w:val="both"/>
      </w:pPr>
      <w:r>
        <w:rPr>
          <w:rFonts w:ascii="Times New Roman"/>
          <w:b w:val="false"/>
          <w:i w:val="false"/>
          <w:color w:val="000000"/>
          <w:sz w:val="28"/>
        </w:rPr>
        <w:t>
      кредит планируется направить на приобретение товаров длительного пользования (жилой недвижимости, автомобилей, бытовой техники, мебели и иное) и (или) оплату различных услуг (образовательных, туристических, медицинских, ремонтно-строительных и иное) и (или) прочие покупки и цели (рефинансирование займа в другом банке (в случае если ранее полученный заем связан с потребительскими целями), мобильные телефоны, продукты питания и иное);</w:t>
      </w:r>
    </w:p>
    <w:bookmarkEnd w:id="661"/>
    <w:bookmarkStart w:name="z683" w:id="662"/>
    <w:p>
      <w:pPr>
        <w:spacing w:after="0"/>
        <w:ind w:left="0"/>
        <w:jc w:val="both"/>
      </w:pPr>
      <w:r>
        <w:rPr>
          <w:rFonts w:ascii="Times New Roman"/>
          <w:b w:val="false"/>
          <w:i w:val="false"/>
          <w:color w:val="000000"/>
          <w:sz w:val="28"/>
        </w:rPr>
        <w:t>
      получатель кредита имеет постоянный источник дохода (заработная плата, пенсия, пособия, дивиденды от ценных бумаг, доходы от сдачи в аренду недвижимости и другие доходы), объективно позволяющий ему обслуживать обязательства перед банком по полученному кредиту, подтвержденный в порядке, определенном внутренними документами банка.</w:t>
      </w:r>
    </w:p>
    <w:bookmarkEnd w:id="662"/>
    <w:bookmarkStart w:name="z684" w:id="663"/>
    <w:p>
      <w:pPr>
        <w:spacing w:after="0"/>
        <w:ind w:left="0"/>
        <w:jc w:val="both"/>
      </w:pPr>
      <w:r>
        <w:rPr>
          <w:rFonts w:ascii="Times New Roman"/>
          <w:b w:val="false"/>
          <w:i w:val="false"/>
          <w:color w:val="000000"/>
          <w:sz w:val="28"/>
        </w:rPr>
        <w:t>
      Документы необходимые для анализа финансового состояния клиента и качества обеспечения:</w:t>
      </w:r>
    </w:p>
    <w:bookmarkEnd w:id="663"/>
    <w:bookmarkStart w:name="z685" w:id="664"/>
    <w:p>
      <w:pPr>
        <w:spacing w:after="0"/>
        <w:ind w:left="0"/>
        <w:jc w:val="both"/>
      </w:pPr>
      <w:r>
        <w:rPr>
          <w:rFonts w:ascii="Times New Roman"/>
          <w:b w:val="false"/>
          <w:i w:val="false"/>
          <w:color w:val="000000"/>
          <w:sz w:val="28"/>
        </w:rPr>
        <w:t>
      к данной группе документов относятся все документы, на основании которых проводится анализ финансового состояния заемщика и отражающие основные экономические показатели деятельности заемщика, а также документы, подтверждающие наличие, качество, размер принимаемого обеспечения.</w:t>
      </w:r>
    </w:p>
    <w:bookmarkEnd w:id="664"/>
    <w:bookmarkStart w:name="z686" w:id="665"/>
    <w:p>
      <w:pPr>
        <w:spacing w:after="0"/>
        <w:ind w:left="0"/>
        <w:jc w:val="both"/>
      </w:pPr>
      <w:r>
        <w:rPr>
          <w:rFonts w:ascii="Times New Roman"/>
          <w:b w:val="false"/>
          <w:i w:val="false"/>
          <w:color w:val="000000"/>
          <w:sz w:val="28"/>
        </w:rPr>
        <w:t>
      Документация, необходимая для проведения кредитного мониторинга. К данной группе относится документация, формируемая подразделениями банка в ходе ведения займа или необходимая для подтверждения периодического кредитного мониторинга, а также процедуры актуализации сведений о заемщиках (контрагентах) для целей управления кредитным риском;</w:t>
      </w:r>
    </w:p>
    <w:bookmarkEnd w:id="665"/>
    <w:bookmarkStart w:name="z687" w:id="666"/>
    <w:p>
      <w:pPr>
        <w:spacing w:after="0"/>
        <w:ind w:left="0"/>
        <w:jc w:val="both"/>
      </w:pPr>
      <w:r>
        <w:rPr>
          <w:rFonts w:ascii="Times New Roman"/>
          <w:b w:val="false"/>
          <w:i w:val="false"/>
          <w:color w:val="000000"/>
          <w:sz w:val="28"/>
        </w:rPr>
        <w:t>
      11) наличие и функционирование системы управленческой информации.</w:t>
      </w:r>
    </w:p>
    <w:bookmarkEnd w:id="666"/>
    <w:bookmarkStart w:name="z688" w:id="667"/>
    <w:p>
      <w:pPr>
        <w:spacing w:after="0"/>
        <w:ind w:left="0"/>
        <w:jc w:val="both"/>
      </w:pPr>
      <w:r>
        <w:rPr>
          <w:rFonts w:ascii="Times New Roman"/>
          <w:b w:val="false"/>
          <w:i w:val="false"/>
          <w:color w:val="000000"/>
          <w:sz w:val="28"/>
        </w:rPr>
        <w:t>
      Банк разрабатывает формы управленческой отчетности, которые, включают, но не ограничиваются следующей информацией:</w:t>
      </w:r>
    </w:p>
    <w:bookmarkEnd w:id="667"/>
    <w:bookmarkStart w:name="z689" w:id="668"/>
    <w:p>
      <w:pPr>
        <w:spacing w:after="0"/>
        <w:ind w:left="0"/>
        <w:jc w:val="both"/>
      </w:pPr>
      <w:r>
        <w:rPr>
          <w:rFonts w:ascii="Times New Roman"/>
          <w:b w:val="false"/>
          <w:i w:val="false"/>
          <w:color w:val="000000"/>
          <w:sz w:val="28"/>
        </w:rPr>
        <w:t>
      о кредитном портфеле и его качестве, представленной, в том числе в динамике его изменений;</w:t>
      </w:r>
    </w:p>
    <w:bookmarkEnd w:id="668"/>
    <w:bookmarkStart w:name="z690" w:id="669"/>
    <w:p>
      <w:pPr>
        <w:spacing w:after="0"/>
        <w:ind w:left="0"/>
        <w:jc w:val="both"/>
      </w:pPr>
      <w:r>
        <w:rPr>
          <w:rFonts w:ascii="Times New Roman"/>
          <w:b w:val="false"/>
          <w:i w:val="false"/>
          <w:color w:val="000000"/>
          <w:sz w:val="28"/>
        </w:rPr>
        <w:t>
      о размере (уровне) подверженности кредитному риску, в том числе включая оценку приближения совокупной подверженности к установленным в банке лимитам по различным видам кредитов (предлимитный подход);</w:t>
      </w:r>
    </w:p>
    <w:bookmarkEnd w:id="669"/>
    <w:bookmarkStart w:name="z691" w:id="670"/>
    <w:p>
      <w:pPr>
        <w:spacing w:after="0"/>
        <w:ind w:left="0"/>
        <w:jc w:val="both"/>
      </w:pPr>
      <w:r>
        <w:rPr>
          <w:rFonts w:ascii="Times New Roman"/>
          <w:b w:val="false"/>
          <w:i w:val="false"/>
          <w:color w:val="000000"/>
          <w:sz w:val="28"/>
        </w:rPr>
        <w:t>
      о подверженности кредитному риску в отношении группы связанных заемщиков и динамике ее изменения;</w:t>
      </w:r>
    </w:p>
    <w:bookmarkEnd w:id="670"/>
    <w:bookmarkStart w:name="z692" w:id="671"/>
    <w:p>
      <w:pPr>
        <w:spacing w:after="0"/>
        <w:ind w:left="0"/>
        <w:jc w:val="both"/>
      </w:pPr>
      <w:r>
        <w:rPr>
          <w:rFonts w:ascii="Times New Roman"/>
          <w:b w:val="false"/>
          <w:i w:val="false"/>
          <w:color w:val="000000"/>
          <w:sz w:val="28"/>
        </w:rPr>
        <w:t>
      о концентрации кредитного риска крупнейших заемщиков (контрагентов) и заемщиков (контрагентов), связанных с банком особыми отношениями, в том числе с акционерами банка и динамике его изменения;</w:t>
      </w:r>
    </w:p>
    <w:bookmarkEnd w:id="671"/>
    <w:bookmarkStart w:name="z693" w:id="672"/>
    <w:p>
      <w:pPr>
        <w:spacing w:after="0"/>
        <w:ind w:left="0"/>
        <w:jc w:val="both"/>
      </w:pPr>
      <w:r>
        <w:rPr>
          <w:rFonts w:ascii="Times New Roman"/>
          <w:b w:val="false"/>
          <w:i w:val="false"/>
          <w:color w:val="000000"/>
          <w:sz w:val="28"/>
        </w:rPr>
        <w:t>
      о внутренних рейтингах заемщиков (контрагентов) и динамике их изменения, о мониторинге качества кредитов по рейтингам заемщиков (контрагентов) и его периодичность;</w:t>
      </w:r>
    </w:p>
    <w:bookmarkEnd w:id="672"/>
    <w:bookmarkStart w:name="z694" w:id="673"/>
    <w:p>
      <w:pPr>
        <w:spacing w:after="0"/>
        <w:ind w:left="0"/>
        <w:jc w:val="both"/>
      </w:pPr>
      <w:r>
        <w:rPr>
          <w:rFonts w:ascii="Times New Roman"/>
          <w:b w:val="false"/>
          <w:i w:val="false"/>
          <w:color w:val="000000"/>
          <w:sz w:val="28"/>
        </w:rPr>
        <w:t>
      о размере провизий и оценке уровня адекватности провизий;</w:t>
      </w:r>
    </w:p>
    <w:bookmarkEnd w:id="673"/>
    <w:bookmarkStart w:name="z695" w:id="674"/>
    <w:p>
      <w:pPr>
        <w:spacing w:after="0"/>
        <w:ind w:left="0"/>
        <w:jc w:val="both"/>
      </w:pPr>
      <w:r>
        <w:rPr>
          <w:rFonts w:ascii="Times New Roman"/>
          <w:b w:val="false"/>
          <w:i w:val="false"/>
          <w:color w:val="000000"/>
          <w:sz w:val="28"/>
        </w:rPr>
        <w:t>
      о реструктурируемых, рефинансируемых и проблемных кредитах;</w:t>
      </w:r>
    </w:p>
    <w:bookmarkEnd w:id="674"/>
    <w:bookmarkStart w:name="z696" w:id="675"/>
    <w:p>
      <w:pPr>
        <w:spacing w:after="0"/>
        <w:ind w:left="0"/>
        <w:jc w:val="both"/>
      </w:pPr>
      <w:r>
        <w:rPr>
          <w:rFonts w:ascii="Times New Roman"/>
          <w:b w:val="false"/>
          <w:i w:val="false"/>
          <w:color w:val="000000"/>
          <w:sz w:val="28"/>
        </w:rPr>
        <w:t>
      о мониторинге и контроле за соблюдением лимитов;</w:t>
      </w:r>
    </w:p>
    <w:bookmarkEnd w:id="675"/>
    <w:bookmarkStart w:name="z697" w:id="676"/>
    <w:p>
      <w:pPr>
        <w:spacing w:after="0"/>
        <w:ind w:left="0"/>
        <w:jc w:val="both"/>
      </w:pPr>
      <w:r>
        <w:rPr>
          <w:rFonts w:ascii="Times New Roman"/>
          <w:b w:val="false"/>
          <w:i w:val="false"/>
          <w:color w:val="000000"/>
          <w:sz w:val="28"/>
        </w:rPr>
        <w:t>
      об отклонениях от политики и лимитов.".</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банковской деятельности,</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 xml:space="preserve">для исламских банков </w:t>
            </w:r>
          </w:p>
        </w:tc>
      </w:tr>
    </w:tbl>
    <w:bookmarkStart w:name="z700" w:id="677"/>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 </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78"/>
          <w:p>
            <w:pPr>
              <w:spacing w:after="20"/>
              <w:ind w:left="20"/>
              <w:jc w:val="both"/>
            </w:pPr>
            <w:r>
              <w:rPr>
                <w:rFonts w:ascii="Times New Roman"/>
                <w:b w:val="false"/>
                <w:i w:val="false"/>
                <w:color w:val="000000"/>
                <w:sz w:val="20"/>
              </w:rPr>
              <w:t>
Степень</w:t>
            </w:r>
          </w:p>
          <w:bookmarkEnd w:id="678"/>
          <w:p>
            <w:pPr>
              <w:spacing w:after="20"/>
              <w:ind w:left="20"/>
              <w:jc w:val="both"/>
            </w:pPr>
            <w:r>
              <w:rPr>
                <w:rFonts w:ascii="Times New Roman"/>
                <w:b w:val="false"/>
                <w:i w:val="false"/>
                <w:color w:val="000000"/>
                <w:sz w:val="20"/>
              </w:rPr>
              <w:t>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с суверенным рейтингом не ниже "AA-"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с рейтингом не ниже "AA-"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оригинатором-национальным холдингом, национальным управляющим холдингом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иностранных государств, суверенный рейтинг которых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"Фонд национального благосостояния "Самрук-Қазына", "Национальный управляющий холдинг "Байтерек", "Фонд проблемных кредитов",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"AA-"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Республики Казахстан, выпущенные исламской специальной финансовой компанией, созданной оригинатором-юридическим лицом, 100 (сто) процентов голосующих акций (долей участия) которых принадлежат национальному управляющему холдингу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не ниже "AA-"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53, 57 и 58 настоящей таблицы),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53, 57 и 58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52, 53, 54, 57 и 58 настоящей таблицы),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79"/>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соответствующие следующим критериям:</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1) в период с 1 января 2022 года по 30 июня 2022 года включительно – сумма займа не превышает 0,2 (ноль целых две десятых) процента от собственного капитала;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с 1 июля 2022 года – сумма займа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80"/>
          <w:p>
            <w:pPr>
              <w:spacing w:after="20"/>
              <w:ind w:left="20"/>
              <w:jc w:val="both"/>
            </w:pPr>
            <w:r>
              <w:rPr>
                <w:rFonts w:ascii="Times New Roman"/>
                <w:b w:val="false"/>
                <w:i w:val="false"/>
                <w:color w:val="000000"/>
                <w:sz w:val="20"/>
              </w:rPr>
              <w:t>
в период с 1 января 2022 года по 30 июня 2022 года включительно – 50</w:t>
            </w:r>
          </w:p>
          <w:bookmarkEnd w:id="680"/>
          <w:p>
            <w:pPr>
              <w:spacing w:after="20"/>
              <w:ind w:left="20"/>
              <w:jc w:val="both"/>
            </w:pPr>
            <w:r>
              <w:rPr>
                <w:rFonts w:ascii="Times New Roman"/>
                <w:b w:val="false"/>
                <w:i w:val="false"/>
                <w:color w:val="000000"/>
                <w:sz w:val="20"/>
              </w:rPr>
              <w:t>
с 1 июля 2022 года –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не ниже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от "A+" до "A-"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81"/>
          <w:p>
            <w:pPr>
              <w:spacing w:after="20"/>
              <w:ind w:left="20"/>
              <w:jc w:val="both"/>
            </w:pPr>
            <w:r>
              <w:rPr>
                <w:rFonts w:ascii="Times New Roman"/>
                <w:b w:val="false"/>
                <w:i w:val="false"/>
                <w:color w:val="000000"/>
                <w:sz w:val="20"/>
              </w:rPr>
              <w:t>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bookmarkEnd w:id="681"/>
          <w:p>
            <w:pPr>
              <w:spacing w:after="20"/>
              <w:ind w:left="20"/>
              <w:jc w:val="both"/>
            </w:pPr>
            <w:r>
              <w:rPr>
                <w:rFonts w:ascii="Times New Roman"/>
                <w:b w:val="false"/>
                <w:i w:val="false"/>
                <w:color w:val="000000"/>
                <w:sz w:val="20"/>
              </w:rPr>
              <w:t>
</w:t>
            </w:r>
            <w:r>
              <w:rPr>
                <w:rFonts w:ascii="Times New Roman"/>
                <w:b w:val="false"/>
                <w:i w:val="false"/>
                <w:color w:val="000000"/>
                <w:sz w:val="20"/>
              </w:rPr>
              <w:t>1) объем инвестиций в один выпуск ценных бумаг эмитента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выпуска ценных бумаг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 до "В-" агентства Standard &amp; Poor's (Стандард энд Пурс)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организациям-резидентам Республики Казахстан, имеющим рейтинг ниже "A-"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организациям-резидентам Республики Казахстан, имеющим долговой рейтинг ниже "A-"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Standard &amp; Poor's (Стандард энд Пурс)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физическим лицам, возникшие до 1 января 2016 года, в том числе потребительские кредиты,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53, 57 и 58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82"/>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bookmarkEnd w:id="682"/>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2017 года по 31 декабря 2019 года ежемесячно при мониторинге займов:</w:t>
            </w:r>
          </w:p>
          <w:p>
            <w:pPr>
              <w:spacing w:after="20"/>
              <w:ind w:left="20"/>
              <w:jc w:val="both"/>
            </w:pPr>
            <w:r>
              <w:rPr>
                <w:rFonts w:ascii="Times New Roman"/>
                <w:b w:val="false"/>
                <w:i w:val="false"/>
                <w:color w:val="000000"/>
                <w:sz w:val="20"/>
              </w:rPr>
              <w:t>
</w:t>
            </w:r>
            <w:r>
              <w:rPr>
                <w:rFonts w:ascii="Times New Roman"/>
                <w:b w:val="false"/>
                <w:i w:val="false"/>
                <w:color w:val="000000"/>
                <w:sz w:val="20"/>
              </w:rPr>
              <w:t>1) уровень коэффициента долговой нагрузки заемщика, рассчитанного в соответствии с постановлением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подпунктах 1) или 2) настоящей строки.</w:t>
            </w:r>
          </w:p>
          <w:p>
            <w:pPr>
              <w:spacing w:after="20"/>
              <w:ind w:left="20"/>
              <w:jc w:val="both"/>
            </w:pPr>
            <w:r>
              <w:rPr>
                <w:rFonts w:ascii="Times New Roman"/>
                <w:b w:val="false"/>
                <w:i w:val="false"/>
                <w:color w:val="000000"/>
                <w:sz w:val="20"/>
              </w:rPr>
              <w:t>
В случае отсутствия у банка информации, предусмотренной в подпунктах 1) и (или) 2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строке 57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резидентами Республики Казахстан, имеющими рейтинг ниже "A-"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за исключением инвестиций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пункта 8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организациям-нерезидентам Республики Казахстан, имеющим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организациям-нерезидентам Республики Казахстан, имеющим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83"/>
          <w:p>
            <w:pPr>
              <w:spacing w:after="20"/>
              <w:ind w:left="20"/>
              <w:jc w:val="both"/>
            </w:pPr>
            <w:r>
              <w:rPr>
                <w:rFonts w:ascii="Times New Roman"/>
                <w:b w:val="false"/>
                <w:i w:val="false"/>
                <w:color w:val="000000"/>
                <w:sz w:val="20"/>
              </w:rPr>
              <w:t>
Требования к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1) Соединенные Штаты Aмерики (только в части территорий Aмериканских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Княжество Aндорра;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Aнтигуа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Aрабские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Китайская Народная Республика (только в части территорий специальных административных районов Aомынь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20)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Aруба и зависимых территорий Aнтильских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Aнгилья;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имеющими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84"/>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bookmarkEnd w:id="684"/>
          <w:p>
            <w:pPr>
              <w:spacing w:after="20"/>
              <w:ind w:left="20"/>
              <w:jc w:val="both"/>
            </w:pPr>
            <w:r>
              <w:rPr>
                <w:rFonts w:ascii="Times New Roman"/>
                <w:b w:val="false"/>
                <w:i w:val="false"/>
                <w:color w:val="000000"/>
                <w:sz w:val="20"/>
              </w:rPr>
              <w:t>
</w:t>
            </w:r>
            <w:r>
              <w:rPr>
                <w:rFonts w:ascii="Times New Roman"/>
                <w:b w:val="false"/>
                <w:i w:val="false"/>
                <w:color w:val="000000"/>
                <w:sz w:val="20"/>
              </w:rPr>
              <w:t>1) Соединенные Штаты Aмерики (только в части территорий Aмериканских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Княжество Aндорра;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Aнтигуа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Aрабские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Китайская Народная Республика (только в части территорий специальных административных районов Aомынь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20)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21)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Aруба и зависимых территорий Aнтильских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36)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Aнгилья;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 xml:space="preserve"> взвешенных по степени</w:t>
            </w:r>
            <w:r>
              <w:br/>
            </w:r>
            <w:r>
              <w:rPr>
                <w:rFonts w:ascii="Times New Roman"/>
                <w:b w:val="false"/>
                <w:i w:val="false"/>
                <w:color w:val="000000"/>
                <w:sz w:val="20"/>
              </w:rPr>
              <w:t>кредитного риска вложений</w:t>
            </w:r>
          </w:p>
        </w:tc>
      </w:tr>
    </w:tbl>
    <w:bookmarkStart w:name="z822" w:id="685"/>
    <w:p>
      <w:pPr>
        <w:spacing w:after="0"/>
        <w:ind w:left="0"/>
        <w:jc w:val="left"/>
      </w:pPr>
      <w:r>
        <w:rPr>
          <w:rFonts w:ascii="Times New Roman"/>
          <w:b/>
          <w:i w:val="false"/>
          <w:color w:val="000000"/>
        </w:rPr>
        <w:t xml:space="preserve"> Пояснения к расчету активов банка, подлежащих взвешиванию по степени кредитного риска вложений</w:t>
      </w:r>
    </w:p>
    <w:bookmarkEnd w:id="685"/>
    <w:bookmarkStart w:name="z823" w:id="686"/>
    <w:p>
      <w:pPr>
        <w:spacing w:after="0"/>
        <w:ind w:left="0"/>
        <w:jc w:val="both"/>
      </w:pPr>
      <w:r>
        <w:rPr>
          <w:rFonts w:ascii="Times New Roman"/>
          <w:b w:val="false"/>
          <w:i w:val="false"/>
          <w:color w:val="000000"/>
          <w:sz w:val="28"/>
        </w:rPr>
        <w:t>
      1.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по которым у банка имеется обеспечение (в виде активов, указанных в строках 1, 2, 3, 11, 12 и 13 Таблицы активов банка, взвешенных по степени кредитного риска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686"/>
    <w:bookmarkStart w:name="z824" w:id="687"/>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11, 12 и 13 Таблицы) равняется:</w:t>
      </w:r>
    </w:p>
    <w:bookmarkEnd w:id="687"/>
    <w:bookmarkStart w:name="z825" w:id="688"/>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688"/>
    <w:bookmarkStart w:name="z826" w:id="689"/>
    <w:p>
      <w:pPr>
        <w:spacing w:after="0"/>
        <w:ind w:left="0"/>
        <w:jc w:val="both"/>
      </w:pPr>
      <w:r>
        <w:rPr>
          <w:rFonts w:ascii="Times New Roman"/>
          <w:b w:val="false"/>
          <w:i w:val="false"/>
          <w:color w:val="000000"/>
          <w:sz w:val="28"/>
        </w:rPr>
        <w:t>
      95 (девяносто пяти) процентам рыночной стоимости исламских ценных бумаг, переданных в обеспечение;</w:t>
      </w:r>
    </w:p>
    <w:bookmarkEnd w:id="689"/>
    <w:bookmarkStart w:name="z827" w:id="690"/>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690"/>
    <w:bookmarkStart w:name="z828" w:id="691"/>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691"/>
    <w:bookmarkStart w:name="z829" w:id="692"/>
    <w:p>
      <w:pPr>
        <w:spacing w:after="0"/>
        <w:ind w:left="0"/>
        <w:jc w:val="both"/>
      </w:pPr>
      <w:r>
        <w:rPr>
          <w:rFonts w:ascii="Times New Roman"/>
          <w:b w:val="false"/>
          <w:i w:val="false"/>
          <w:color w:val="000000"/>
          <w:sz w:val="28"/>
        </w:rPr>
        <w:t>
      2. Займы, по которым у банка имеется обеспечение в виде безотзывной и безусловной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сумма которых покрывает не менее 50 (пятидесяти) процентов объема указанных займов, включаются в расчет активов, взвешенных по степени риска за минусом скорректированной стоимости обеспечения.</w:t>
      </w:r>
    </w:p>
    <w:bookmarkEnd w:id="692"/>
    <w:bookmarkStart w:name="z830" w:id="693"/>
    <w:p>
      <w:pPr>
        <w:spacing w:after="0"/>
        <w:ind w:left="0"/>
        <w:jc w:val="both"/>
      </w:pPr>
      <w:r>
        <w:rPr>
          <w:rFonts w:ascii="Times New Roman"/>
          <w:b w:val="false"/>
          <w:i w:val="false"/>
          <w:color w:val="000000"/>
          <w:sz w:val="28"/>
        </w:rPr>
        <w:t>
      Скорректированная стоимость обеспечения в виде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равняется 95 (девяноста пяти) процентам суммы гарантии, договора страхования.</w:t>
      </w:r>
    </w:p>
    <w:bookmarkEnd w:id="693"/>
    <w:bookmarkStart w:name="z831" w:id="694"/>
    <w:p>
      <w:pPr>
        <w:spacing w:after="0"/>
        <w:ind w:left="0"/>
        <w:jc w:val="both"/>
      </w:pPr>
      <w:r>
        <w:rPr>
          <w:rFonts w:ascii="Times New Roman"/>
          <w:b w:val="false"/>
          <w:i w:val="false"/>
          <w:color w:val="000000"/>
          <w:sz w:val="28"/>
        </w:rPr>
        <w:t>
      3. Вклады, дебиторская задолженность, приобретенные исламские ценные бумаги, коммерческие кредиты при финансировании торговой деятельности в качестве торгового посредника,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исламских ценных бумаг, займов, инвестиции, не включенных в расчет инвестиций банка) по степени риска должника.</w:t>
      </w:r>
    </w:p>
    <w:bookmarkEnd w:id="694"/>
    <w:bookmarkStart w:name="z832" w:id="695"/>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исламских ценных бумаг, коммерческих кредитов при финансировании торговой деятельности в качестве торгового посредника,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695"/>
    <w:bookmarkStart w:name="z833" w:id="696"/>
    <w:p>
      <w:pPr>
        <w:spacing w:after="0"/>
        <w:ind w:left="0"/>
        <w:jc w:val="both"/>
      </w:pPr>
      <w:r>
        <w:rPr>
          <w:rFonts w:ascii="Times New Roman"/>
          <w:b w:val="false"/>
          <w:i w:val="false"/>
          <w:color w:val="000000"/>
          <w:sz w:val="28"/>
        </w:rPr>
        <w:t>
      4.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пункте 1 настоящих Пояснений, предоставленные нерезидентам Республики Казахстан:</w:t>
      </w:r>
    </w:p>
    <w:bookmarkEnd w:id="696"/>
    <w:bookmarkStart w:name="z834" w:id="697"/>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w:t>
      </w:r>
    </w:p>
    <w:bookmarkEnd w:id="697"/>
    <w:bookmarkStart w:name="z835" w:id="698"/>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bookmarkEnd w:id="698"/>
    <w:bookmarkStart w:name="z836" w:id="699"/>
    <w:p>
      <w:pPr>
        <w:spacing w:after="0"/>
        <w:ind w:left="0"/>
        <w:jc w:val="both"/>
      </w:pPr>
      <w:r>
        <w:rPr>
          <w:rFonts w:ascii="Times New Roman"/>
          <w:b w:val="false"/>
          <w:i w:val="false"/>
          <w:color w:val="000000"/>
          <w:sz w:val="28"/>
        </w:rPr>
        <w:t>
      3) являющимся гражданами офшорных зон;</w:t>
      </w:r>
    </w:p>
    <w:bookmarkEnd w:id="699"/>
    <w:bookmarkStart w:name="z837" w:id="700"/>
    <w:p>
      <w:pPr>
        <w:spacing w:after="0"/>
        <w:ind w:left="0"/>
        <w:jc w:val="both"/>
      </w:pPr>
      <w:r>
        <w:rPr>
          <w:rFonts w:ascii="Times New Roman"/>
          <w:b w:val="false"/>
          <w:i w:val="false"/>
          <w:color w:val="000000"/>
          <w:sz w:val="28"/>
        </w:rPr>
        <w:t>
      взвешиваются по степени риска согласно Таблице, независимо от наличия обеспечения, указанного в пункте 1 настоящих Пояснений.</w:t>
      </w:r>
    </w:p>
    <w:bookmarkEnd w:id="700"/>
    <w:bookmarkStart w:name="z838" w:id="701"/>
    <w:p>
      <w:pPr>
        <w:spacing w:after="0"/>
        <w:ind w:left="0"/>
        <w:jc w:val="both"/>
      </w:pPr>
      <w:r>
        <w:rPr>
          <w:rFonts w:ascii="Times New Roman"/>
          <w:b w:val="false"/>
          <w:i w:val="false"/>
          <w:color w:val="000000"/>
          <w:sz w:val="28"/>
        </w:rPr>
        <w:t>
      5. Вклады, дебиторская задолженность, приобретенные исламские ценные бумаги и коммерческие кредиты при финансировании торговой деятельности в качестве торгового посредника, указанные в пункте 1 настоящих Пояснений, предоставленные нерезидентам Республики Казахстан:</w:t>
      </w:r>
    </w:p>
    <w:bookmarkEnd w:id="701"/>
    <w:bookmarkStart w:name="z839" w:id="702"/>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 но имеющим рейтинг не ниже "AA-" агентства Standard &amp; Poor’s (Стандард энд Пурс) или рейтинг аналогичного уровня одного из других рейтинговых агентств, или соответствующую гарантию головной организации, рейтинг которой не ниже указанного уровня, в обеспечение всей суммы обязательств;</w:t>
      </w:r>
    </w:p>
    <w:bookmarkEnd w:id="702"/>
    <w:bookmarkStart w:name="z840" w:id="703"/>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рейтинг не ниже указанного уровня или соответствующую гарантию головной организации,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bookmarkEnd w:id="703"/>
    <w:bookmarkStart w:name="z841" w:id="704"/>
    <w:p>
      <w:pPr>
        <w:spacing w:after="0"/>
        <w:ind w:left="0"/>
        <w:jc w:val="both"/>
      </w:pPr>
      <w:r>
        <w:rPr>
          <w:rFonts w:ascii="Times New Roman"/>
          <w:b w:val="false"/>
          <w:i w:val="false"/>
          <w:color w:val="000000"/>
          <w:sz w:val="28"/>
        </w:rPr>
        <w:t>
      взвешиваются по нулевой степени риска.</w:t>
      </w:r>
    </w:p>
    <w:bookmarkEnd w:id="704"/>
    <w:bookmarkStart w:name="z842" w:id="705"/>
    <w:p>
      <w:pPr>
        <w:spacing w:after="0"/>
        <w:ind w:left="0"/>
        <w:jc w:val="both"/>
      </w:pPr>
      <w:r>
        <w:rPr>
          <w:rFonts w:ascii="Times New Roman"/>
          <w:b w:val="false"/>
          <w:i w:val="false"/>
          <w:color w:val="000000"/>
          <w:sz w:val="28"/>
        </w:rPr>
        <w:t>
      6. Для целей расчета активов банка, взвешенных по степени риска вложений:</w:t>
      </w:r>
    </w:p>
    <w:bookmarkEnd w:id="705"/>
    <w:bookmarkStart w:name="z843" w:id="706"/>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706"/>
    <w:bookmarkStart w:name="z844" w:id="707"/>
    <w:p>
      <w:pPr>
        <w:spacing w:after="0"/>
        <w:ind w:left="0"/>
        <w:jc w:val="both"/>
      </w:pPr>
      <w:r>
        <w:rPr>
          <w:rFonts w:ascii="Times New Roman"/>
          <w:b w:val="false"/>
          <w:i w:val="false"/>
          <w:color w:val="000000"/>
          <w:sz w:val="28"/>
        </w:rPr>
        <w:t>
      под потребительским кредитом понимается коммерческий кредит при финансировании торговой деятельности в качестве торгового посредника, предоставленный физическим лицам на приобретение товаров, работ и услуг, не связанных с осуществлением предпринимательской деятельности.</w:t>
      </w:r>
    </w:p>
    <w:bookmarkEnd w:id="707"/>
    <w:bookmarkStart w:name="z845" w:id="708"/>
    <w:p>
      <w:pPr>
        <w:spacing w:after="0"/>
        <w:ind w:left="0"/>
        <w:jc w:val="both"/>
      </w:pPr>
      <w:r>
        <w:rPr>
          <w:rFonts w:ascii="Times New Roman"/>
          <w:b w:val="false"/>
          <w:i w:val="false"/>
          <w:color w:val="000000"/>
          <w:sz w:val="28"/>
        </w:rPr>
        <w:t>
      7. Если исламская ценная бумага имеет специальный рейтинг выпуска, то при взвешивании активов банка по степени риска необходимо учитывать рейтинг ценной бумаги.</w:t>
      </w:r>
    </w:p>
    <w:bookmarkEnd w:id="708"/>
    <w:bookmarkStart w:name="z846" w:id="709"/>
    <w:p>
      <w:pPr>
        <w:spacing w:after="0"/>
        <w:ind w:left="0"/>
        <w:jc w:val="both"/>
      </w:pPr>
      <w:r>
        <w:rPr>
          <w:rFonts w:ascii="Times New Roman"/>
          <w:b w:val="false"/>
          <w:i w:val="false"/>
          <w:color w:val="000000"/>
          <w:sz w:val="28"/>
        </w:rPr>
        <w:t>
      8. Ценные бумаги, являющиеся предметом операции "обратного репо", заключенной с участием центрального контрагента, взвешиваются по нулевой степени риска.</w:t>
      </w:r>
    </w:p>
    <w:bookmarkEnd w:id="709"/>
    <w:bookmarkStart w:name="z847" w:id="710"/>
    <w:p>
      <w:pPr>
        <w:spacing w:after="0"/>
        <w:ind w:left="0"/>
        <w:jc w:val="both"/>
      </w:pPr>
      <w:r>
        <w:rPr>
          <w:rFonts w:ascii="Times New Roman"/>
          <w:b w:val="false"/>
          <w:i w:val="false"/>
          <w:color w:val="000000"/>
          <w:sz w:val="28"/>
        </w:rPr>
        <w:t>
      9. Активы, включенные в расчет активов, условных и возможных требований и обязательств с учетом рыночного риска в соответствии с пунктом 11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710"/>
    <w:bookmarkStart w:name="z848" w:id="711"/>
    <w:p>
      <w:pPr>
        <w:spacing w:after="0"/>
        <w:ind w:left="0"/>
        <w:jc w:val="both"/>
      </w:pPr>
      <w:r>
        <w:rPr>
          <w:rFonts w:ascii="Times New Roman"/>
          <w:b w:val="false"/>
          <w:i w:val="false"/>
          <w:color w:val="000000"/>
          <w:sz w:val="28"/>
        </w:rPr>
        <w:t>
      10. Для целей расчета активов банка, взвешенных по степени риска вложений, под необеспеченным потребительским займом понимается потребительский заем, за исключением займов, обеспеченных залогом недвижимого имущества, прав требования по договорам долевого участия в жилищном строительстве, иным договорам, предметом которых является приобретение недвижимого имущества, займов, обеспечением по которым выступает автотранспорт, займов, обеспечением по которым выступают деньги, размещенные в банке в соответствии с договором банковского вклада или договором залога денег, полностью покрывающие сумму выдаваемого займа, займов, выдаваемых в рамках системы образовательного кредитования, и займов, выдаваемых в рамках системы жилищных строительных сбережений.</w:t>
      </w:r>
    </w:p>
    <w:bookmarkEnd w:id="7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банковской деятельности,</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методикам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размеру капитала банка</w:t>
            </w:r>
          </w:p>
        </w:tc>
      </w:tr>
    </w:tbl>
    <w:bookmarkStart w:name="z851" w:id="712"/>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(Стандард энд Пурс) или рейтингом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(Стандард энд Пурс)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по налогам и другим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Нур-Султана,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І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Нур-Султана, Алматы и Шымкента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(Стандард энд Пурс) или рейтинг аналогичного уровня одного из других рейтинговых агентств или рейтинговую оценку от "kzAAA" до "kzAA-"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77, 79 и 80 настоящей таблицы), соответствующие следующему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100 (сто) процентов акций которого принадлежат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выданных физическим лицам, указанных в строках 77, 79 и 80 настоящей таблицы), соответствующие следующему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77, 79 и 80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76, 77, 78, 79 и 80 настоящей таблицы, а также беззалоговых потребительских займов, выданных физическим лицам),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13"/>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соответствующие следующим критериям: 1) в период с 1 января 2022 года по 30 июня 2022 года включительно - сумма займа не превышает 0,2 (ноль целых две десятых) процента от собственного капитала;</w:t>
            </w:r>
          </w:p>
          <w:bookmarkEnd w:id="713"/>
          <w:p>
            <w:pPr>
              <w:spacing w:after="20"/>
              <w:ind w:left="20"/>
              <w:jc w:val="both"/>
            </w:pPr>
            <w:r>
              <w:rPr>
                <w:rFonts w:ascii="Times New Roman"/>
                <w:b w:val="false"/>
                <w:i w:val="false"/>
                <w:color w:val="000000"/>
                <w:sz w:val="20"/>
              </w:rPr>
              <w:t>
</w:t>
            </w:r>
            <w:r>
              <w:rPr>
                <w:rFonts w:ascii="Times New Roman"/>
                <w:b w:val="false"/>
                <w:i w:val="false"/>
                <w:color w:val="000000"/>
                <w:sz w:val="20"/>
              </w:rPr>
              <w:t>с 1 июля 2022 года - сумма займа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займа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14"/>
          <w:p>
            <w:pPr>
              <w:spacing w:after="20"/>
              <w:ind w:left="20"/>
              <w:jc w:val="both"/>
            </w:pPr>
            <w:r>
              <w:rPr>
                <w:rFonts w:ascii="Times New Roman"/>
                <w:b w:val="false"/>
                <w:i w:val="false"/>
                <w:color w:val="000000"/>
                <w:sz w:val="20"/>
              </w:rPr>
              <w:t>
с 1 января 2022 года по 30 июня 2022 года включительно – 50</w:t>
            </w:r>
          </w:p>
          <w:bookmarkEnd w:id="714"/>
          <w:p>
            <w:pPr>
              <w:spacing w:after="20"/>
              <w:ind w:left="20"/>
              <w:jc w:val="both"/>
            </w:pPr>
            <w:r>
              <w:rPr>
                <w:rFonts w:ascii="Times New Roman"/>
                <w:b w:val="false"/>
                <w:i w:val="false"/>
                <w:color w:val="000000"/>
                <w:sz w:val="20"/>
              </w:rPr>
              <w:t xml:space="preserve">
с 1 июля 2022 года – 75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выданные юридическим лицам в тенге в рамках синдицированного финансирования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1 июля 2021 года по 31 декабря 2021 года включительно –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15"/>
          <w:p>
            <w:pPr>
              <w:spacing w:after="20"/>
              <w:ind w:left="20"/>
              <w:jc w:val="both"/>
            </w:pPr>
            <w:r>
              <w:rPr>
                <w:rFonts w:ascii="Times New Roman"/>
                <w:b w:val="false"/>
                <w:i w:val="false"/>
                <w:color w:val="000000"/>
                <w:sz w:val="20"/>
              </w:rPr>
              <w:t>
Ценные бумаги, выпущенные субъектами, отнесенными к малому или среднему предпринимательству согласно Предпринимательскому кодексу Республики Казахстан, включенные в сектор "Долговые ценные бумаги" площадки "Основная" либо "Альтернативная" официального списка акционерного общества "Казахстанская фондовая биржа", имеющие гарантию акционерного общества "Фонд развития предпринимательства "ДАМУ" и (или) акционерного общества "Банк Развития Казахстана", сумма которой покрывает не менее 50 (пятидесяти) процентов номинальной стоимости данных ценных бумаг, и соответствующие следующим критериям:</w:t>
            </w:r>
          </w:p>
          <w:bookmarkEnd w:id="715"/>
          <w:p>
            <w:pPr>
              <w:spacing w:after="20"/>
              <w:ind w:left="20"/>
              <w:jc w:val="both"/>
            </w:pPr>
            <w:r>
              <w:rPr>
                <w:rFonts w:ascii="Times New Roman"/>
                <w:b w:val="false"/>
                <w:i w:val="false"/>
                <w:color w:val="000000"/>
                <w:sz w:val="20"/>
              </w:rPr>
              <w:t>
</w:t>
            </w:r>
            <w:r>
              <w:rPr>
                <w:rFonts w:ascii="Times New Roman"/>
                <w:b w:val="false"/>
                <w:i w:val="false"/>
                <w:color w:val="000000"/>
                <w:sz w:val="20"/>
              </w:rPr>
              <w:t>1) объем инвестиций в один выпуск ценных бумаг эмитента не превышает 0,02 (ноль целых две сотых) процента от собственного капитала;</w:t>
            </w:r>
          </w:p>
          <w:p>
            <w:pPr>
              <w:spacing w:after="20"/>
              <w:ind w:left="20"/>
              <w:jc w:val="both"/>
            </w:pPr>
            <w:r>
              <w:rPr>
                <w:rFonts w:ascii="Times New Roman"/>
                <w:b w:val="false"/>
                <w:i w:val="false"/>
                <w:color w:val="000000"/>
                <w:sz w:val="20"/>
              </w:rPr>
              <w:t>
2) валюта выпуска ценных бумаг –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(Стандард энд Пурс) или рейтинг аналогичного уровня одного из других рейтинговых агентств или рейтинговую оценку от "kzA+" до "kzA-"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от "ВВВ-" до "ВВ+" (включительно)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Республики Казахстан,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имеющим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организациям-резидентам Республики Казахстан, имеющим долговой рейтинг ниже "А-" агентства Standard &amp; Poor's (Стандард энд Пурс) или рейтинг аналогичного уровня одного из других рейтинговых агентств, организациям-резидентам Республики Казахстан, не имеющим соответствующей рейтинговой оценки, и организациям-нерезидентам Республики Казахстан, имеющим долговой рейтинг от "ВВВ+" до "ВВ-" агентства Standard &amp; Poor's (Стандард энд Пурс)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до 1 января 2016 года, в том числе потребительские займы, за исключением отнесенных к III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физическим лицам, в том числе потребительские займы,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16"/>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займы, соответствующие одному из следующих критериев, рассчитываемых банком:</w:t>
            </w:r>
          </w:p>
          <w:bookmarkEnd w:id="716"/>
          <w:p>
            <w:pPr>
              <w:spacing w:after="20"/>
              <w:ind w:left="20"/>
              <w:jc w:val="both"/>
            </w:pPr>
            <w:r>
              <w:rPr>
                <w:rFonts w:ascii="Times New Roman"/>
                <w:b w:val="false"/>
                <w:i w:val="false"/>
                <w:color w:val="000000"/>
                <w:sz w:val="20"/>
              </w:rPr>
              <w:t>
</w:t>
            </w:r>
            <w:r>
              <w:rPr>
                <w:rFonts w:ascii="Times New Roman"/>
                <w:b w:val="false"/>
                <w:i w:val="false"/>
                <w:color w:val="000000"/>
                <w:sz w:val="20"/>
              </w:rPr>
              <w:t>с 1 января 2017 года по 31 декабря 2019 года ежемесячно при мониторинге займов: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уровень коэффициента долговой нагрузки заемщика,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подпункте 1) или 2) настоящей строки.</w:t>
            </w:r>
          </w:p>
          <w:p>
            <w:pPr>
              <w:spacing w:after="20"/>
              <w:ind w:left="20"/>
              <w:jc w:val="both"/>
            </w:pP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выданные физическим лицам с 1 января 2016 года, в том числе потребительские займы (за исключением ипотечных жилищных займов, займов физическим лицам, указанных в строке 79 настоящей таблицы и беззалоговых потребительских займов, указанных в приложении 5-1 к Нормативам)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организациях-резидентах Республики Казахстан, не имеющих соответствующей рейтинговой оценки, и организациях-нерезидентах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Республики Казахстан, имеющих долговой рейтинг ниже "А-" агентства Standard &amp; Poor's (Стандард энд Пурс) или рейтинг аналогичного уровня одного из других рейтинговых агентств, организаций-резидентов Республики Казахстан, не имеющих соответствующей рейтинговой оценки, и организаций-нерезидентов Республики Казахстан, имеющих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(Стандард энд Пурс)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(Стандард энд Пурс)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(Стандард энд Пурс) или рейтинг аналогичного уровня одного из других рейтинговых агентств, организациями-резидентами Республики Казахстан, не имеющими соответствующей рейтинговой оценки, и организациями-нерезидентами Республики Казахстан, имеющими долговой рейтинг от "ВВВ+" до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"ВВВ+" до "ВВВ-" агентства Standard &amp; Poor's (Стандард энд Пурс) или рейтинг аналогичного уровня одного из других рейтинговых агентств, или рейтинговую оценку от "kzBBB+" до "kzBBB-"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или банку-нерезиденту Республики Казахстан, имеющему долговой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 в соответствии с международными стандартами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пункте 10 Нормативов, и суммы, подлежащей к вычету из основного капитала, указанной в абзацах третьем, четвертом и пятом пункта 11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Республики Казахстан, имеющим долговой рейтинг ниже "ВВ-" агентства Standard &amp; Poor's (Стандард энд Пурс) или рейтинг аналогичного уровня одного из других рейтинговых агентств, и организациям-нерезидентам Республики Казахстан,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17"/>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bookmarkEnd w:id="717"/>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 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 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организациях-нерезидентах Республики Казахстан,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18"/>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bookmarkEnd w:id="718"/>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 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имеющих долговой рейтинг ниже "ВВ-" агентства Standard &amp; Poor's (Стандард энд Пурс)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719"/>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bookmarkEnd w:id="719"/>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(Стандард энд Пурс)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имеющими долговой рейтинг ниже "ВВ-" агентства Standard &amp; Poor's (Стандард энд Пурс) или рейтинг аналогичного уровня одного из других рейтинговых агентств, и организациями-нерезидентами Республики Казахстан,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720"/>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bookmarkEnd w:id="720"/>
          <w:p>
            <w:pPr>
              <w:spacing w:after="20"/>
              <w:ind w:left="20"/>
              <w:jc w:val="both"/>
            </w:pPr>
            <w:r>
              <w:rPr>
                <w:rFonts w:ascii="Times New Roman"/>
                <w:b w:val="false"/>
                <w:i w:val="false"/>
                <w:color w:val="000000"/>
                <w:sz w:val="20"/>
              </w:rPr>
              <w:t>
</w:t>
            </w:r>
            <w:r>
              <w:rPr>
                <w:rFonts w:ascii="Times New Roman"/>
                <w:b w:val="false"/>
                <w:i w:val="false"/>
                <w:color w:val="000000"/>
                <w:sz w:val="20"/>
              </w:rPr>
              <w:t>1) Княжество Андорра;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p>
          <w:p>
            <w:pPr>
              <w:spacing w:after="20"/>
              <w:ind w:left="20"/>
              <w:jc w:val="both"/>
            </w:pPr>
            <w:r>
              <w:rPr>
                <w:rFonts w:ascii="Times New Roman"/>
                <w:b w:val="false"/>
                <w:i w:val="false"/>
                <w:color w:val="000000"/>
                <w:sz w:val="20"/>
              </w:rPr>
              <w:t>
</w:t>
            </w:r>
            <w:r>
              <w:rPr>
                <w:rFonts w:ascii="Times New Roman"/>
                <w:b w:val="false"/>
                <w:i w:val="false"/>
                <w:color w:val="000000"/>
                <w:sz w:val="20"/>
              </w:rPr>
              <w:t>3) Государство Антигуа и Барбуда;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Содружество Багамских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Государство Барбадос;</w:t>
            </w:r>
          </w:p>
          <w:p>
            <w:pPr>
              <w:spacing w:after="20"/>
              <w:ind w:left="20"/>
              <w:jc w:val="both"/>
            </w:pPr>
            <w:r>
              <w:rPr>
                <w:rFonts w:ascii="Times New Roman"/>
                <w:b w:val="false"/>
                <w:i w:val="false"/>
                <w:color w:val="000000"/>
                <w:sz w:val="20"/>
              </w:rPr>
              <w:t>
</w:t>
            </w:r>
            <w:r>
              <w:rPr>
                <w:rFonts w:ascii="Times New Roman"/>
                <w:b w:val="false"/>
                <w:i w:val="false"/>
                <w:color w:val="000000"/>
                <w:sz w:val="20"/>
              </w:rPr>
              <w:t>6) Государство Бахрейн;</w:t>
            </w:r>
          </w:p>
          <w:p>
            <w:pPr>
              <w:spacing w:after="20"/>
              <w:ind w:left="20"/>
              <w:jc w:val="both"/>
            </w:pPr>
            <w:r>
              <w:rPr>
                <w:rFonts w:ascii="Times New Roman"/>
                <w:b w:val="false"/>
                <w:i w:val="false"/>
                <w:color w:val="000000"/>
                <w:sz w:val="20"/>
              </w:rPr>
              <w:t>
</w:t>
            </w:r>
            <w:r>
              <w:rPr>
                <w:rFonts w:ascii="Times New Roman"/>
                <w:b w:val="false"/>
                <w:i w:val="false"/>
                <w:color w:val="000000"/>
                <w:sz w:val="20"/>
              </w:rPr>
              <w:t>7) Государство Белиз;</w:t>
            </w:r>
          </w:p>
          <w:p>
            <w:pPr>
              <w:spacing w:after="20"/>
              <w:ind w:left="20"/>
              <w:jc w:val="both"/>
            </w:pPr>
            <w:r>
              <w:rPr>
                <w:rFonts w:ascii="Times New Roman"/>
                <w:b w:val="false"/>
                <w:i w:val="false"/>
                <w:color w:val="000000"/>
                <w:sz w:val="20"/>
              </w:rPr>
              <w:t>
</w:t>
            </w:r>
            <w:r>
              <w:rPr>
                <w:rFonts w:ascii="Times New Roman"/>
                <w:b w:val="false"/>
                <w:i w:val="false"/>
                <w:color w:val="000000"/>
                <w:sz w:val="20"/>
              </w:rPr>
              <w:t>8) Государство Бруней Даруссалам;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Республика Вануату;</w:t>
            </w:r>
          </w:p>
          <w:p>
            <w:pPr>
              <w:spacing w:after="20"/>
              <w:ind w:left="20"/>
              <w:jc w:val="both"/>
            </w:pPr>
            <w:r>
              <w:rPr>
                <w:rFonts w:ascii="Times New Roman"/>
                <w:b w:val="false"/>
                <w:i w:val="false"/>
                <w:color w:val="000000"/>
                <w:sz w:val="20"/>
              </w:rPr>
              <w:t>
</w:t>
            </w:r>
            <w:r>
              <w:rPr>
                <w:rFonts w:ascii="Times New Roman"/>
                <w:b w:val="false"/>
                <w:i w:val="false"/>
                <w:color w:val="000000"/>
                <w:sz w:val="20"/>
              </w:rPr>
              <w:t>11) Республика Гватемала;</w:t>
            </w:r>
          </w:p>
          <w:p>
            <w:pPr>
              <w:spacing w:after="20"/>
              <w:ind w:left="20"/>
              <w:jc w:val="both"/>
            </w:pPr>
            <w:r>
              <w:rPr>
                <w:rFonts w:ascii="Times New Roman"/>
                <w:b w:val="false"/>
                <w:i w:val="false"/>
                <w:color w:val="000000"/>
                <w:sz w:val="20"/>
              </w:rPr>
              <w:t>
</w:t>
            </w:r>
            <w:r>
              <w:rPr>
                <w:rFonts w:ascii="Times New Roman"/>
                <w:b w:val="false"/>
                <w:i w:val="false"/>
                <w:color w:val="000000"/>
                <w:sz w:val="20"/>
              </w:rPr>
              <w:t>12) Государство Гренада;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Республика Джибути;</w:t>
            </w:r>
          </w:p>
          <w:p>
            <w:pPr>
              <w:spacing w:after="20"/>
              <w:ind w:left="20"/>
              <w:jc w:val="both"/>
            </w:pPr>
            <w:r>
              <w:rPr>
                <w:rFonts w:ascii="Times New Roman"/>
                <w:b w:val="false"/>
                <w:i w:val="false"/>
                <w:color w:val="000000"/>
                <w:sz w:val="20"/>
              </w:rPr>
              <w:t>
</w:t>
            </w:r>
            <w:r>
              <w:rPr>
                <w:rFonts w:ascii="Times New Roman"/>
                <w:b w:val="false"/>
                <w:i w:val="false"/>
                <w:color w:val="000000"/>
                <w:sz w:val="20"/>
              </w:rPr>
              <w:t>14) Доминиканская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p>
          <w:p>
            <w:pPr>
              <w:spacing w:after="20"/>
              <w:ind w:left="20"/>
              <w:jc w:val="both"/>
            </w:pPr>
            <w:r>
              <w:rPr>
                <w:rFonts w:ascii="Times New Roman"/>
                <w:b w:val="false"/>
                <w:i w:val="false"/>
                <w:color w:val="000000"/>
                <w:sz w:val="20"/>
              </w:rPr>
              <w:t>
</w:t>
            </w:r>
            <w:r>
              <w:rPr>
                <w:rFonts w:ascii="Times New Roman"/>
                <w:b w:val="false"/>
                <w:i w:val="false"/>
                <w:color w:val="000000"/>
                <w:sz w:val="20"/>
              </w:rPr>
              <w:t>16) Республика Индонезия;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18) Республика Кипр;</w:t>
            </w:r>
          </w:p>
          <w:p>
            <w:pPr>
              <w:spacing w:after="20"/>
              <w:ind w:left="20"/>
              <w:jc w:val="both"/>
            </w:pP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20) Республика Коста-Рика;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p>
          <w:p>
            <w:pPr>
              <w:spacing w:after="20"/>
              <w:ind w:left="20"/>
              <w:jc w:val="both"/>
            </w:pPr>
            <w:r>
              <w:rPr>
                <w:rFonts w:ascii="Times New Roman"/>
                <w:b w:val="false"/>
                <w:i w:val="false"/>
                <w:color w:val="000000"/>
                <w:sz w:val="20"/>
              </w:rPr>
              <w:t>
</w:t>
            </w:r>
            <w:r>
              <w:rPr>
                <w:rFonts w:ascii="Times New Roman"/>
                <w:b w:val="false"/>
                <w:i w:val="false"/>
                <w:color w:val="000000"/>
                <w:sz w:val="20"/>
              </w:rPr>
              <w:t>22) Республика Либерия;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23) Княжество Лихтенштейн;</w:t>
            </w:r>
          </w:p>
          <w:p>
            <w:pPr>
              <w:spacing w:after="20"/>
              <w:ind w:left="20"/>
              <w:jc w:val="both"/>
            </w:pPr>
            <w:r>
              <w:rPr>
                <w:rFonts w:ascii="Times New Roman"/>
                <w:b w:val="false"/>
                <w:i w:val="false"/>
                <w:color w:val="000000"/>
                <w:sz w:val="20"/>
              </w:rPr>
              <w:t>
</w:t>
            </w:r>
            <w:r>
              <w:rPr>
                <w:rFonts w:ascii="Times New Roman"/>
                <w:b w:val="false"/>
                <w:i w:val="false"/>
                <w:color w:val="000000"/>
                <w:sz w:val="20"/>
              </w:rPr>
              <w:t>24) Республика Маврикий;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25) Малайзия (только в части территории анклава Лабуан);</w:t>
            </w:r>
          </w:p>
          <w:p>
            <w:pPr>
              <w:spacing w:after="20"/>
              <w:ind w:left="20"/>
              <w:jc w:val="both"/>
            </w:pPr>
            <w:r>
              <w:rPr>
                <w:rFonts w:ascii="Times New Roman"/>
                <w:b w:val="false"/>
                <w:i w:val="false"/>
                <w:color w:val="000000"/>
                <w:sz w:val="20"/>
              </w:rPr>
              <w:t>
</w:t>
            </w:r>
            <w:r>
              <w:rPr>
                <w:rFonts w:ascii="Times New Roman"/>
                <w:b w:val="false"/>
                <w:i w:val="false"/>
                <w:color w:val="000000"/>
                <w:sz w:val="20"/>
              </w:rPr>
              <w:t>26) Мальдивская Республика;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27) Республика Мальта;</w:t>
            </w:r>
          </w:p>
          <w:p>
            <w:pPr>
              <w:spacing w:after="20"/>
              <w:ind w:left="20"/>
              <w:jc w:val="both"/>
            </w:pPr>
            <w:r>
              <w:rPr>
                <w:rFonts w:ascii="Times New Roman"/>
                <w:b w:val="false"/>
                <w:i w:val="false"/>
                <w:color w:val="000000"/>
                <w:sz w:val="20"/>
              </w:rPr>
              <w:t>
</w:t>
            </w:r>
            <w:r>
              <w:rPr>
                <w:rFonts w:ascii="Times New Roman"/>
                <w:b w:val="false"/>
                <w:i w:val="false"/>
                <w:color w:val="000000"/>
                <w:sz w:val="20"/>
              </w:rPr>
              <w:t>28) Республика Маршалловы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29) Княжество Монако;</w:t>
            </w:r>
          </w:p>
          <w:p>
            <w:pPr>
              <w:spacing w:after="20"/>
              <w:ind w:left="20"/>
              <w:jc w:val="both"/>
            </w:pPr>
            <w:r>
              <w:rPr>
                <w:rFonts w:ascii="Times New Roman"/>
                <w:b w:val="false"/>
                <w:i w:val="false"/>
                <w:color w:val="000000"/>
                <w:sz w:val="20"/>
              </w:rPr>
              <w:t>
</w:t>
            </w:r>
            <w:r>
              <w:rPr>
                <w:rFonts w:ascii="Times New Roman"/>
                <w:b w:val="false"/>
                <w:i w:val="false"/>
                <w:color w:val="000000"/>
                <w:sz w:val="20"/>
              </w:rPr>
              <w:t>30) Союз Мьянма;</w:t>
            </w:r>
          </w:p>
          <w:p>
            <w:pPr>
              <w:spacing w:after="20"/>
              <w:ind w:left="20"/>
              <w:jc w:val="both"/>
            </w:pPr>
            <w:r>
              <w:rPr>
                <w:rFonts w:ascii="Times New Roman"/>
                <w:b w:val="false"/>
                <w:i w:val="false"/>
                <w:color w:val="000000"/>
                <w:sz w:val="20"/>
              </w:rPr>
              <w:t>
</w:t>
            </w:r>
            <w:r>
              <w:rPr>
                <w:rFonts w:ascii="Times New Roman"/>
                <w:b w:val="false"/>
                <w:i w:val="false"/>
                <w:color w:val="000000"/>
                <w:sz w:val="20"/>
              </w:rPr>
              <w:t>31) Республика Науру;</w:t>
            </w:r>
          </w:p>
          <w:p>
            <w:pPr>
              <w:spacing w:after="20"/>
              <w:ind w:left="20"/>
              <w:jc w:val="both"/>
            </w:pP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p>
          <w:p>
            <w:pPr>
              <w:spacing w:after="20"/>
              <w:ind w:left="20"/>
              <w:jc w:val="both"/>
            </w:pPr>
            <w:r>
              <w:rPr>
                <w:rFonts w:ascii="Times New Roman"/>
                <w:b w:val="false"/>
                <w:i w:val="false"/>
                <w:color w:val="000000"/>
                <w:sz w:val="20"/>
              </w:rPr>
              <w:t>
</w:t>
            </w:r>
            <w:r>
              <w:rPr>
                <w:rFonts w:ascii="Times New Roman"/>
                <w:b w:val="false"/>
                <w:i w:val="false"/>
                <w:color w:val="000000"/>
                <w:sz w:val="20"/>
              </w:rPr>
              <w:t>33) Федеративная Республика Нигерия;</w:t>
            </w:r>
          </w:p>
          <w:p>
            <w:pPr>
              <w:spacing w:after="20"/>
              <w:ind w:left="20"/>
              <w:jc w:val="both"/>
            </w:pP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p>
          <w:p>
            <w:pPr>
              <w:spacing w:after="20"/>
              <w:ind w:left="20"/>
              <w:jc w:val="both"/>
            </w:pPr>
            <w:r>
              <w:rPr>
                <w:rFonts w:ascii="Times New Roman"/>
                <w:b w:val="false"/>
                <w:i w:val="false"/>
                <w:color w:val="000000"/>
                <w:sz w:val="20"/>
              </w:rPr>
              <w:t>
</w:t>
            </w:r>
            <w:r>
              <w:rPr>
                <w:rFonts w:ascii="Times New Roman"/>
                <w:b w:val="false"/>
                <w:i w:val="false"/>
                <w:color w:val="000000"/>
                <w:sz w:val="20"/>
              </w:rPr>
              <w:t>35) Республика Палау;</w:t>
            </w:r>
          </w:p>
          <w:p>
            <w:pPr>
              <w:spacing w:after="20"/>
              <w:ind w:left="20"/>
              <w:jc w:val="both"/>
            </w:pPr>
            <w:r>
              <w:rPr>
                <w:rFonts w:ascii="Times New Roman"/>
                <w:b w:val="false"/>
                <w:i w:val="false"/>
                <w:color w:val="000000"/>
                <w:sz w:val="20"/>
              </w:rPr>
              <w:t>
</w:t>
            </w:r>
            <w:r>
              <w:rPr>
                <w:rFonts w:ascii="Times New Roman"/>
                <w:b w:val="false"/>
                <w:i w:val="false"/>
                <w:color w:val="000000"/>
                <w:sz w:val="20"/>
              </w:rPr>
              <w:t>36) Республика Панама;</w:t>
            </w:r>
          </w:p>
          <w:p>
            <w:pPr>
              <w:spacing w:after="20"/>
              <w:ind w:left="20"/>
              <w:jc w:val="both"/>
            </w:pPr>
            <w:r>
              <w:rPr>
                <w:rFonts w:ascii="Times New Roman"/>
                <w:b w:val="false"/>
                <w:i w:val="false"/>
                <w:color w:val="000000"/>
                <w:sz w:val="20"/>
              </w:rPr>
              <w:t>
</w:t>
            </w:r>
            <w:r>
              <w:rPr>
                <w:rFonts w:ascii="Times New Roman"/>
                <w:b w:val="false"/>
                <w:i w:val="false"/>
                <w:color w:val="000000"/>
                <w:sz w:val="20"/>
              </w:rPr>
              <w:t>37) Независимое Государство Самоа;</w:t>
            </w:r>
          </w:p>
          <w:p>
            <w:pPr>
              <w:spacing w:after="20"/>
              <w:ind w:left="20"/>
              <w:jc w:val="both"/>
            </w:pPr>
            <w:r>
              <w:rPr>
                <w:rFonts w:ascii="Times New Roman"/>
                <w:b w:val="false"/>
                <w:i w:val="false"/>
                <w:color w:val="000000"/>
                <w:sz w:val="20"/>
              </w:rPr>
              <w:t>
</w:t>
            </w:r>
            <w:r>
              <w:rPr>
                <w:rFonts w:ascii="Times New Roman"/>
                <w:b w:val="false"/>
                <w:i w:val="false"/>
                <w:color w:val="000000"/>
                <w:sz w:val="20"/>
              </w:rPr>
              <w:t>38) Республика Сейшельские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p>
          <w:p>
            <w:pPr>
              <w:spacing w:after="20"/>
              <w:ind w:left="20"/>
              <w:jc w:val="both"/>
            </w:pPr>
            <w:r>
              <w:rPr>
                <w:rFonts w:ascii="Times New Roman"/>
                <w:b w:val="false"/>
                <w:i w:val="false"/>
                <w:color w:val="000000"/>
                <w:sz w:val="20"/>
              </w:rPr>
              <w:t>
</w:t>
            </w:r>
            <w:r>
              <w:rPr>
                <w:rFonts w:ascii="Times New Roman"/>
                <w:b w:val="false"/>
                <w:i w:val="false"/>
                <w:color w:val="000000"/>
                <w:sz w:val="20"/>
              </w:rPr>
              <w:t>40) Федерация Сент-Китс и Невис;</w:t>
            </w:r>
          </w:p>
          <w:p>
            <w:pPr>
              <w:spacing w:after="20"/>
              <w:ind w:left="20"/>
              <w:jc w:val="both"/>
            </w:pPr>
            <w:r>
              <w:rPr>
                <w:rFonts w:ascii="Times New Roman"/>
                <w:b w:val="false"/>
                <w:i w:val="false"/>
                <w:color w:val="000000"/>
                <w:sz w:val="20"/>
              </w:rPr>
              <w:t>
</w:t>
            </w:r>
            <w:r>
              <w:rPr>
                <w:rFonts w:ascii="Times New Roman"/>
                <w:b w:val="false"/>
                <w:i w:val="false"/>
                <w:color w:val="000000"/>
                <w:sz w:val="20"/>
              </w:rPr>
              <w:t>41) Государство Сент-Люсия;</w:t>
            </w:r>
          </w:p>
          <w:p>
            <w:pPr>
              <w:spacing w:after="20"/>
              <w:ind w:left="20"/>
              <w:jc w:val="both"/>
            </w:pPr>
            <w:r>
              <w:rPr>
                <w:rFonts w:ascii="Times New Roman"/>
                <w:b w:val="false"/>
                <w:i w:val="false"/>
                <w:color w:val="000000"/>
                <w:sz w:val="20"/>
              </w:rPr>
              <w:t>
</w:t>
            </w:r>
            <w:r>
              <w:rPr>
                <w:rFonts w:ascii="Times New Roman"/>
                <w:b w:val="false"/>
                <w:i w:val="false"/>
                <w:color w:val="000000"/>
                <w:sz w:val="20"/>
              </w:rPr>
              <w:t>42) Королевство Тонга;</w:t>
            </w:r>
          </w:p>
          <w:p>
            <w:pPr>
              <w:spacing w:after="20"/>
              <w:ind w:left="20"/>
              <w:jc w:val="both"/>
            </w:pP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Ангилья;</w:t>
            </w:r>
          </w:p>
          <w:p>
            <w:pPr>
              <w:spacing w:after="20"/>
              <w:ind w:left="20"/>
              <w:jc w:val="both"/>
            </w:pPr>
            <w:r>
              <w:rPr>
                <w:rFonts w:ascii="Times New Roman"/>
                <w:b w:val="false"/>
                <w:i w:val="false"/>
                <w:color w:val="000000"/>
                <w:sz w:val="20"/>
              </w:rPr>
              <w:t>
</w:t>
            </w:r>
            <w:r>
              <w:rPr>
                <w:rFonts w:ascii="Times New Roman"/>
                <w:b w:val="false"/>
                <w:i w:val="false"/>
                <w:color w:val="000000"/>
                <w:sz w:val="20"/>
              </w:rPr>
              <w:t>Бермудские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Британские Виргинские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Гибралтар; Каймановы острова;</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Монтсеррат;</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Острова Теркс и Кайкос;</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Остров Мэн;</w:t>
            </w:r>
          </w:p>
          <w:p>
            <w:pPr>
              <w:spacing w:after="20"/>
              <w:ind w:left="20"/>
              <w:jc w:val="both"/>
            </w:pP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p>
          <w:p>
            <w:pPr>
              <w:spacing w:after="20"/>
              <w:ind w:left="20"/>
              <w:jc w:val="both"/>
            </w:pPr>
            <w:r>
              <w:rPr>
                <w:rFonts w:ascii="Times New Roman"/>
                <w:b w:val="false"/>
                <w:i w:val="false"/>
                <w:color w:val="000000"/>
                <w:sz w:val="20"/>
              </w:rPr>
              <w:t>
</w:t>
            </w:r>
            <w:r>
              <w:rPr>
                <w:rFonts w:ascii="Times New Roman"/>
                <w:b w:val="false"/>
                <w:i w:val="false"/>
                <w:color w:val="000000"/>
                <w:sz w:val="20"/>
              </w:rPr>
              <w:t>44) Республика Филиппины;</w:t>
            </w:r>
          </w:p>
          <w:p>
            <w:pPr>
              <w:spacing w:after="20"/>
              <w:ind w:left="20"/>
              <w:jc w:val="both"/>
            </w:pPr>
            <w:r>
              <w:rPr>
                <w:rFonts w:ascii="Times New Roman"/>
                <w:b w:val="false"/>
                <w:i w:val="false"/>
                <w:color w:val="000000"/>
                <w:sz w:val="20"/>
              </w:rPr>
              <w:t>
45) Демократическая Республика Шри-Ланка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(Стандард энд Пурс) или рейтинг аналогичного уровня одного из других рейтинговых агентств или рейтинговую оценку от "kzBB+" до "kzBB-" по национальной шкале агентства Standard &amp; Poor's (Стандард энд Пурс) или рейтинг аналогичного уровня по национальной шкале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активов банка,</w:t>
            </w:r>
            <w:r>
              <w:br/>
            </w:r>
            <w:r>
              <w:rPr>
                <w:rFonts w:ascii="Times New Roman"/>
                <w:b w:val="false"/>
                <w:i w:val="false"/>
                <w:color w:val="000000"/>
                <w:sz w:val="20"/>
              </w:rPr>
              <w:t>взвешенных по степени</w:t>
            </w:r>
            <w:r>
              <w:br/>
            </w:r>
            <w:r>
              <w:rPr>
                <w:rFonts w:ascii="Times New Roman"/>
                <w:b w:val="false"/>
                <w:i w:val="false"/>
                <w:color w:val="000000"/>
                <w:sz w:val="20"/>
              </w:rPr>
              <w:t>кредитного риска вложений</w:t>
            </w:r>
          </w:p>
        </w:tc>
      </w:tr>
    </w:tbl>
    <w:bookmarkStart w:name="z1075" w:id="721"/>
    <w:p>
      <w:pPr>
        <w:spacing w:after="0"/>
        <w:ind w:left="0"/>
        <w:jc w:val="left"/>
      </w:pPr>
      <w:r>
        <w:rPr>
          <w:rFonts w:ascii="Times New Roman"/>
          <w:b/>
          <w:i w:val="false"/>
          <w:color w:val="000000"/>
        </w:rPr>
        <w:t xml:space="preserve"> Пояснения к расчету активов банка, подлежащих взвешиванию по степени кредитного риска вложений</w:t>
      </w:r>
    </w:p>
    <w:bookmarkEnd w:id="721"/>
    <w:bookmarkStart w:name="z1076" w:id="722"/>
    <w:p>
      <w:pPr>
        <w:spacing w:after="0"/>
        <w:ind w:left="0"/>
        <w:jc w:val="both"/>
      </w:pPr>
      <w:r>
        <w:rPr>
          <w:rFonts w:ascii="Times New Roman"/>
          <w:b w:val="false"/>
          <w:i w:val="false"/>
          <w:color w:val="000000"/>
          <w:sz w:val="28"/>
        </w:rPr>
        <w:t>
      1. Вклады, дебиторская задолженность, приобретенные ценные бумаги, займы, по которым у банка имеется обеспечение (в виде активов, указанных в строках 1, 2, 3, 10, 11, 12, 15, 16, 17, 18, 19 и 20 Таблицы активов банка, взвешенных по степени кредитного риска вложений (далее – Таблица), скорректированная стоимость которого составляет не менее 50 (пятидесяти) процентов объема указанных активов, при наличии в банках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риска за минусом скорректированной стоимости обеспечения.</w:t>
      </w:r>
    </w:p>
    <w:bookmarkEnd w:id="722"/>
    <w:bookmarkStart w:name="z1077" w:id="723"/>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10, 11, 12, 15, 16, 17, 18, 19 и 20 Таблицы) равняется:</w:t>
      </w:r>
    </w:p>
    <w:bookmarkEnd w:id="723"/>
    <w:bookmarkStart w:name="z1078" w:id="724"/>
    <w:p>
      <w:pPr>
        <w:spacing w:after="0"/>
        <w:ind w:left="0"/>
        <w:jc w:val="both"/>
      </w:pPr>
      <w:r>
        <w:rPr>
          <w:rFonts w:ascii="Times New Roman"/>
          <w:b w:val="false"/>
          <w:i w:val="false"/>
          <w:color w:val="000000"/>
          <w:sz w:val="28"/>
        </w:rPr>
        <w:t>
      100 (ста) процентам суммы вкладов, в том числе в данном банке, предоставленных в качестве обеспечения;</w:t>
      </w:r>
    </w:p>
    <w:bookmarkEnd w:id="724"/>
    <w:bookmarkStart w:name="z1079" w:id="725"/>
    <w:p>
      <w:pPr>
        <w:spacing w:after="0"/>
        <w:ind w:left="0"/>
        <w:jc w:val="both"/>
      </w:pPr>
      <w:r>
        <w:rPr>
          <w:rFonts w:ascii="Times New Roman"/>
          <w:b w:val="false"/>
          <w:i w:val="false"/>
          <w:color w:val="000000"/>
          <w:sz w:val="28"/>
        </w:rPr>
        <w:t>
      95 (девяносто пяти) процентам рыночной стоимости ценных бумаг, переданных в обеспечение;</w:t>
      </w:r>
    </w:p>
    <w:bookmarkEnd w:id="725"/>
    <w:bookmarkStart w:name="z1080" w:id="726"/>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726"/>
    <w:bookmarkStart w:name="z1081" w:id="727"/>
    <w:p>
      <w:pPr>
        <w:spacing w:after="0"/>
        <w:ind w:left="0"/>
        <w:jc w:val="both"/>
      </w:pPr>
      <w:r>
        <w:rPr>
          <w:rFonts w:ascii="Times New Roman"/>
          <w:b w:val="false"/>
          <w:i w:val="false"/>
          <w:color w:val="000000"/>
          <w:sz w:val="28"/>
        </w:rPr>
        <w:t>
      Необеспеченная часть вышеуказанных вкладов, дебиторской задолженности, приобретенных ценных бумаг, взвешивается согласно Таблице по степени риска, соответствующей вкладам, дебиторской задолженности, приобретенным ценным бумагам.</w:t>
      </w:r>
    </w:p>
    <w:bookmarkEnd w:id="727"/>
    <w:bookmarkStart w:name="z1082" w:id="728"/>
    <w:p>
      <w:pPr>
        <w:spacing w:after="0"/>
        <w:ind w:left="0"/>
        <w:jc w:val="both"/>
      </w:pPr>
      <w:r>
        <w:rPr>
          <w:rFonts w:ascii="Times New Roman"/>
          <w:b w:val="false"/>
          <w:i w:val="false"/>
          <w:color w:val="000000"/>
          <w:sz w:val="28"/>
        </w:rPr>
        <w:t>
      2. Займы, по которым у банка имеется обеспечение в виде безотзывной и безусловной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сумма которых покрывает не менее 50 (пятидесяти) процентов объема указанных займов, включаются в расчет активов, взвешенных по степени риска за минусом скорректированной стоимости обеспечения.</w:t>
      </w:r>
    </w:p>
    <w:bookmarkEnd w:id="728"/>
    <w:bookmarkStart w:name="z1083" w:id="729"/>
    <w:p>
      <w:pPr>
        <w:spacing w:after="0"/>
        <w:ind w:left="0"/>
        <w:jc w:val="both"/>
      </w:pPr>
      <w:r>
        <w:rPr>
          <w:rFonts w:ascii="Times New Roman"/>
          <w:b w:val="false"/>
          <w:i w:val="false"/>
          <w:color w:val="000000"/>
          <w:sz w:val="28"/>
        </w:rPr>
        <w:t>
      Скорректированная стоимость обеспечения в виде гарантии акционерных обществ "Фонд национального благосостояния "Самрук-Қазына" и "Национальный управляющий холдинг "Байтерек",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равняется 95 (девяноста пяти) процентам суммы гарантии, договора страхования.</w:t>
      </w:r>
    </w:p>
    <w:bookmarkEnd w:id="729"/>
    <w:bookmarkStart w:name="z1084" w:id="730"/>
    <w:p>
      <w:pPr>
        <w:spacing w:after="0"/>
        <w:ind w:left="0"/>
        <w:jc w:val="both"/>
      </w:pPr>
      <w:r>
        <w:rPr>
          <w:rFonts w:ascii="Times New Roman"/>
          <w:b w:val="false"/>
          <w:i w:val="false"/>
          <w:color w:val="000000"/>
          <w:sz w:val="28"/>
        </w:rPr>
        <w:t>
      3. Вклады, дебиторская задолженность, приобретенные ценные бумаги, займы, инвестиции, не включенные в расчет инвестиций банка, гарантированные (застрахованные) организациями, имеющими степень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займов, инвестиций, не включенных в расчет инвестиций банка) по степени риска должника.</w:t>
      </w:r>
    </w:p>
    <w:bookmarkEnd w:id="730"/>
    <w:bookmarkStart w:name="z1085" w:id="731"/>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займов, инвестиций, не включенных в расчет инвестиций банка, взвешивается по степени риска дебиторской задолженности соответствующего гаранта (страховщика).</w:t>
      </w:r>
    </w:p>
    <w:bookmarkEnd w:id="731"/>
    <w:bookmarkStart w:name="z1086" w:id="732"/>
    <w:p>
      <w:pPr>
        <w:spacing w:after="0"/>
        <w:ind w:left="0"/>
        <w:jc w:val="both"/>
      </w:pPr>
      <w:r>
        <w:rPr>
          <w:rFonts w:ascii="Times New Roman"/>
          <w:b w:val="false"/>
          <w:i w:val="false"/>
          <w:color w:val="000000"/>
          <w:sz w:val="28"/>
        </w:rPr>
        <w:t xml:space="preserve">
      4. Вклады, дебиторская задолженность, приобретенные ценные бумаги и займы,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настоящих Пояснений к расчету активов банка, подлежащих взвешиванию по степени кредитного риска вложений (далее - Пояснения), предоставленные нерезидентам Республики Казахстан:</w:t>
      </w:r>
    </w:p>
    <w:bookmarkEnd w:id="732"/>
    <w:bookmarkStart w:name="z1087" w:id="733"/>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w:t>
      </w:r>
    </w:p>
    <w:bookmarkEnd w:id="733"/>
    <w:bookmarkStart w:name="z1088" w:id="734"/>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bookmarkEnd w:id="734"/>
    <w:bookmarkStart w:name="z1089" w:id="735"/>
    <w:p>
      <w:pPr>
        <w:spacing w:after="0"/>
        <w:ind w:left="0"/>
        <w:jc w:val="both"/>
      </w:pPr>
      <w:r>
        <w:rPr>
          <w:rFonts w:ascii="Times New Roman"/>
          <w:b w:val="false"/>
          <w:i w:val="false"/>
          <w:color w:val="000000"/>
          <w:sz w:val="28"/>
        </w:rPr>
        <w:t>
      3) являющимся гражданами офшорных зон;</w:t>
      </w:r>
    </w:p>
    <w:bookmarkEnd w:id="735"/>
    <w:bookmarkStart w:name="z1090" w:id="736"/>
    <w:p>
      <w:pPr>
        <w:spacing w:after="0"/>
        <w:ind w:left="0"/>
        <w:jc w:val="both"/>
      </w:pPr>
      <w:r>
        <w:rPr>
          <w:rFonts w:ascii="Times New Roman"/>
          <w:b w:val="false"/>
          <w:i w:val="false"/>
          <w:color w:val="000000"/>
          <w:sz w:val="28"/>
        </w:rPr>
        <w:t xml:space="preserve">
      взвешиваются по степени риска согласно Таблице, независимо от наличия обеспечения, указанного в </w:t>
      </w:r>
      <w:r>
        <w:rPr>
          <w:rFonts w:ascii="Times New Roman"/>
          <w:b w:val="false"/>
          <w:i w:val="false"/>
          <w:color w:val="000000"/>
          <w:sz w:val="28"/>
        </w:rPr>
        <w:t>пункте 1</w:t>
      </w:r>
      <w:r>
        <w:rPr>
          <w:rFonts w:ascii="Times New Roman"/>
          <w:b w:val="false"/>
          <w:i w:val="false"/>
          <w:color w:val="000000"/>
          <w:sz w:val="28"/>
        </w:rPr>
        <w:t xml:space="preserve"> Пояснений.</w:t>
      </w:r>
    </w:p>
    <w:bookmarkEnd w:id="736"/>
    <w:bookmarkStart w:name="z1091" w:id="737"/>
    <w:p>
      <w:pPr>
        <w:spacing w:after="0"/>
        <w:ind w:left="0"/>
        <w:jc w:val="both"/>
      </w:pPr>
      <w:r>
        <w:rPr>
          <w:rFonts w:ascii="Times New Roman"/>
          <w:b w:val="false"/>
          <w:i w:val="false"/>
          <w:color w:val="000000"/>
          <w:sz w:val="28"/>
        </w:rPr>
        <w:t xml:space="preserve">
      5. Вклады, дебиторская задолженность, приобретенные ценные бумаги и займы, указанные в </w:t>
      </w:r>
      <w:r>
        <w:rPr>
          <w:rFonts w:ascii="Times New Roman"/>
          <w:b w:val="false"/>
          <w:i w:val="false"/>
          <w:color w:val="000000"/>
          <w:sz w:val="28"/>
        </w:rPr>
        <w:t>пункте 1</w:t>
      </w:r>
      <w:r>
        <w:rPr>
          <w:rFonts w:ascii="Times New Roman"/>
          <w:b w:val="false"/>
          <w:i w:val="false"/>
          <w:color w:val="000000"/>
          <w:sz w:val="28"/>
        </w:rPr>
        <w:t xml:space="preserve"> Пояснений, предоставленные нерезидентам Республики Казахстан:</w:t>
      </w:r>
    </w:p>
    <w:bookmarkEnd w:id="737"/>
    <w:bookmarkStart w:name="z1092" w:id="738"/>
    <w:p>
      <w:pPr>
        <w:spacing w:after="0"/>
        <w:ind w:left="0"/>
        <w:jc w:val="both"/>
      </w:pPr>
      <w:r>
        <w:rPr>
          <w:rFonts w:ascii="Times New Roman"/>
          <w:b w:val="false"/>
          <w:i w:val="false"/>
          <w:color w:val="000000"/>
          <w:sz w:val="28"/>
        </w:rPr>
        <w:t>
      1) зарегистрированным в качестве юридического лица на территории офшорных зон, но имеющим долговой рейтинг не ниже "АА-" агентства Standard &amp; Poor's (Стандард энд Пурс) или рейтинг аналогичного уровня одного из других рейтинговых агентств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738"/>
    <w:bookmarkStart w:name="z1093" w:id="739"/>
    <w:p>
      <w:pPr>
        <w:spacing w:after="0"/>
        <w:ind w:left="0"/>
        <w:jc w:val="both"/>
      </w:pPr>
      <w:r>
        <w:rPr>
          <w:rFonts w:ascii="Times New Roman"/>
          <w:b w:val="false"/>
          <w:i w:val="false"/>
          <w:color w:val="000000"/>
          <w:sz w:val="28"/>
        </w:rPr>
        <w:t>
      2)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bookmarkEnd w:id="739"/>
    <w:bookmarkStart w:name="z1094" w:id="740"/>
    <w:p>
      <w:pPr>
        <w:spacing w:after="0"/>
        <w:ind w:left="0"/>
        <w:jc w:val="both"/>
      </w:pPr>
      <w:r>
        <w:rPr>
          <w:rFonts w:ascii="Times New Roman"/>
          <w:b w:val="false"/>
          <w:i w:val="false"/>
          <w:color w:val="000000"/>
          <w:sz w:val="28"/>
        </w:rPr>
        <w:t>
      взвешиваются по нулевой степени риска.</w:t>
      </w:r>
    </w:p>
    <w:bookmarkEnd w:id="740"/>
    <w:bookmarkStart w:name="z1095" w:id="741"/>
    <w:p>
      <w:pPr>
        <w:spacing w:after="0"/>
        <w:ind w:left="0"/>
        <w:jc w:val="both"/>
      </w:pPr>
      <w:r>
        <w:rPr>
          <w:rFonts w:ascii="Times New Roman"/>
          <w:b w:val="false"/>
          <w:i w:val="false"/>
          <w:color w:val="000000"/>
          <w:sz w:val="28"/>
        </w:rPr>
        <w:t>
      6. Для целей расчета активов банка, взвешенных по степени риска вложений:</w:t>
      </w:r>
    </w:p>
    <w:bookmarkEnd w:id="741"/>
    <w:bookmarkStart w:name="z1096" w:id="742"/>
    <w:p>
      <w:pPr>
        <w:spacing w:after="0"/>
        <w:ind w:left="0"/>
        <w:jc w:val="both"/>
      </w:pPr>
      <w:r>
        <w:rPr>
          <w:rFonts w:ascii="Times New Roman"/>
          <w:b w:val="false"/>
          <w:i w:val="false"/>
          <w:color w:val="000000"/>
          <w:sz w:val="28"/>
        </w:rPr>
        <w:t>
      под ипотечным жилищным займом понимается ипотечный заем, предоставленный физическим лицам в целях строительства жилища либо его покупки и (или) ремонта;</w:t>
      </w:r>
    </w:p>
    <w:bookmarkEnd w:id="742"/>
    <w:bookmarkStart w:name="z1097" w:id="743"/>
    <w:p>
      <w:pPr>
        <w:spacing w:after="0"/>
        <w:ind w:left="0"/>
        <w:jc w:val="both"/>
      </w:pPr>
      <w:r>
        <w:rPr>
          <w:rFonts w:ascii="Times New Roman"/>
          <w:b w:val="false"/>
          <w:i w:val="false"/>
          <w:color w:val="000000"/>
          <w:sz w:val="28"/>
        </w:rPr>
        <w:t>
      под потребительским займом понимается заем, предоставленный физическим лицам на приобретение товаров, работ и услуг, не связанных с осуществлением предпринимательской деятельности.</w:t>
      </w:r>
    </w:p>
    <w:bookmarkEnd w:id="743"/>
    <w:bookmarkStart w:name="z1098" w:id="744"/>
    <w:p>
      <w:pPr>
        <w:spacing w:after="0"/>
        <w:ind w:left="0"/>
        <w:jc w:val="both"/>
      </w:pPr>
      <w:r>
        <w:rPr>
          <w:rFonts w:ascii="Times New Roman"/>
          <w:b w:val="false"/>
          <w:i w:val="false"/>
          <w:color w:val="000000"/>
          <w:sz w:val="28"/>
        </w:rPr>
        <w:t>
      7. Если ценная бумага имеет специальный долговой рейтинг выпуска, то при взвешивании активов банка по степени риска необходимо учитывать рейтинг ценной бумаги.</w:t>
      </w:r>
    </w:p>
    <w:bookmarkEnd w:id="744"/>
    <w:bookmarkStart w:name="z1099" w:id="745"/>
    <w:p>
      <w:pPr>
        <w:spacing w:after="0"/>
        <w:ind w:left="0"/>
        <w:jc w:val="both"/>
      </w:pPr>
      <w:r>
        <w:rPr>
          <w:rFonts w:ascii="Times New Roman"/>
          <w:b w:val="false"/>
          <w:i w:val="false"/>
          <w:color w:val="000000"/>
          <w:sz w:val="28"/>
        </w:rPr>
        <w:t>
      8. Ценные бумаги, являющиеся предметом операции "обратного репо", заключенной с участием центрального контрагента, взвешиваются по нулевой степени риска.</w:t>
      </w:r>
    </w:p>
    <w:bookmarkEnd w:id="745"/>
    <w:bookmarkStart w:name="z1100" w:id="746"/>
    <w:p>
      <w:pPr>
        <w:spacing w:after="0"/>
        <w:ind w:left="0"/>
        <w:jc w:val="both"/>
      </w:pPr>
      <w:r>
        <w:rPr>
          <w:rFonts w:ascii="Times New Roman"/>
          <w:b w:val="false"/>
          <w:i w:val="false"/>
          <w:color w:val="000000"/>
          <w:sz w:val="28"/>
        </w:rPr>
        <w:t xml:space="preserve">
      9. Степень кредитного риска по займу согласно Таблице или Значениям коэффициентов взвешивания по степени кредитного риска вложений по беззалоговым потребительским займам при расчете коэффициента долговой нагрузки согласно приложению 5-1 к Нормативам (далее – Значения) снижается в два раза, если в отношении такого займа заемщиком - физическим лицом осуществляется выполнение плана реабилитации, составленного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постановления Правления Национального Банка Республики Казахстан от 28 июля 2017 года № 136 "Об утверждении Правил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зарегистрированного в Реестре государственной регистрации нормативных правовых актов под № 15541.</w:t>
      </w:r>
    </w:p>
    <w:bookmarkEnd w:id="746"/>
    <w:bookmarkStart w:name="z1101" w:id="747"/>
    <w:p>
      <w:pPr>
        <w:spacing w:after="0"/>
        <w:ind w:left="0"/>
        <w:jc w:val="both"/>
      </w:pPr>
      <w:r>
        <w:rPr>
          <w:rFonts w:ascii="Times New Roman"/>
          <w:b w:val="false"/>
          <w:i w:val="false"/>
          <w:color w:val="000000"/>
          <w:sz w:val="28"/>
        </w:rPr>
        <w:t>
      В случае неисполнения заемщиком-физическим лицом плана реабилитации, указанного в части первой настоящего пункта, заем взвешивается по степени кредитного риска согласно Таблице или Значениям.</w:t>
      </w:r>
    </w:p>
    <w:bookmarkEnd w:id="747"/>
    <w:bookmarkStart w:name="z1102" w:id="748"/>
    <w:p>
      <w:pPr>
        <w:spacing w:after="0"/>
        <w:ind w:left="0"/>
        <w:jc w:val="both"/>
      </w:pPr>
      <w:r>
        <w:rPr>
          <w:rFonts w:ascii="Times New Roman"/>
          <w:b w:val="false"/>
          <w:i w:val="false"/>
          <w:color w:val="000000"/>
          <w:sz w:val="28"/>
        </w:rPr>
        <w:t>
      10. Активы, включенные в расчет активов, условных и возможных требований и обязательств с учетом рыночного риска в соответствии с пунктом 21 Нормативов,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7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