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35db" w14:textId="41a3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корректировки ставок земельного налога, налоговых ставок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ноября 2021 года № 13-87. Зарегистрировано в Министерстве юстиции Республики Казахстан 7 декабря 2021 года № 25581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510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Зерендинского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Зерендинского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Повысить базовые налоговые ставки на земли, занятые жилищным фондом, в том числе строениями и сооружениями Зерендинского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Зерендинского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года, за исключением пункта 1 настоящего решения, которое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Зерендинского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ставок земельного налога на основании проекта (схемы) зонирования земель Зерендинского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базовых налоговых ставок на земли, занятые жилищным фондом, в том числе строениями и сооружениями Зерендинского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Зерендинского районного маслихата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схемы зонирования земель Зерендинского района и о повышении (понижении) ставок земельного налога" от 6 марта 2013 года № 12-109 (зарегистрированно в Реестре государственной регистрации нормативных правовых актов за № 3702).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внесении изменений в решение Зерендинского районного маслихата от 6 марта 2013 года № 12-109 "Об утверждении схемы зонирования земель и процентов повышения (понижения) базовых ставок земельного налога Зерендинского района" от 4 апреля 2016 года № 2-10 (зарегистрированно в Реестре государственной регистрации нормативных правовых актов за № 5309).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внесении изменений в решение Зерендинского районного маслихата от 6 марта 2013 года № 12-109 "Об утверждении схемы зонирования земель и процентов повышения (понижения) базовых ставок земельного налога Зерендинского района" от 16 февраля 2018 года № 19-156 (зарегистрированно в Реестре государственной регистрации нормативных правовых актов за № 6442).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внесении изменения в решение Зерендинского районного маслихата от 6 марта 2013 года № 12-109 "Об утверждении схемы зонирования земель Зерендинского района и о повышении (понижении) ставок земельного налога" от 15 мая 2019 года № 37-264 (зарегистрированно в Реестре государственной регистрации нормативных правовых актов за № 7185).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