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2e55" w14:textId="04c2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Айтекебийского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марта 2021 года № 11. Зарегистрировано Департаментом юстиции Актюбинской области 12 марта 2021 года № 8107. Утратило силу решением Айтекебийского районного маслихата Актюбинской области от 13 апреля 2023 года № 13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13.04.2023 № 13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Указом Президента Республики Казахстан от 29 декабря 2015 года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№ 16299)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Айтекебийского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 марта 2018 года № 197 "Об утверждении методики оценки деятельности административных государственных служащих корпуса "Б" государственного учреждения "Аппарат Айтекебийского районного маслихата" (зарегистрированное в реестре государственной регистрации нормативных правовых актов № 3-2-146, опубликованное 30 марта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Айтекебийского районного маслихата от 10 марта 2021 года № 11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Айтекебийского районного маслихата"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Айтекебийского районного маслихата" (далее – аппарат маслихата)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методика),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государственного учреждения "Аппарат Айтекебийского районного маслихата" (далее – служащие корпуса "Б").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 годовым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структурное подразделение аппарата маслихата, в функциональные обязанности которого входит ведение работы кадровой службы.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в течение трех лет со дня завершения оценки хранятся у руководителя структурного подразделения аппарата маслихата, в функциональные обязанности которого входит ведение работы кадровой службы (далее – руководитель структурного подразделения).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 с соответствующими КЦИ, он вносится на рассмотрение вышестоящему руководителю для утверждения.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годового плана государственного учреждения "Аппарат Айтекебийского районного маслихата.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маслихата.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и подписывает его.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руководитель структурного подразделения не позднее 2 рабочих дней выносит его на рассмотрение Комиссии.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руководитель структурного подразделения не позднее 2 рабочих дней выносит его на рассмотрение Комиссии.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структурного подразделения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распоряжении о создании Комиссии.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руководитель структурного подразделения. Секретарь Комиссии не принимает участие в голосовании.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структурного подразделения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структурного подразделения предоставляет на заседание Комиссии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структурного подразделения ознакамливает служащего корпуса "Б" с результатами оценки в течение двух рабочих дней со дня ее завершения.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структурного подразделения и двумя другими служащими государственного органа.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решения Айтекебийского районного маслихата Актюбинской области от 29.03.2022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решением Айтекебийского районного маслихата Актюбинской области от 29.03.2022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