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2e55" w14:textId="04c2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марта 2021 года № 11. Зарегистрировано Департаментом юстиции Актюбинской области 12 марта 2021 года № 8107. Утратило силу решением Айтекебийского районного маслихата Актюбинской области от 13 апреля 2023 года № 13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13.04.2023 № 13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Указом Президента Республики Казахстан от 29 декабря 2015 года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№ 16299)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 марта 2018 года № 197 "Об утверждении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 (зарегистрированное в реестре государственной регистрации нормативных правовых актов № 3-2-146, опубликованное 30 марта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Айтекебийского районного маслихата от 10 марта 2021 года № 11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Айтекебийского районного маслихата" (далее – аппарат маслихата)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методика),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государственного учреждения "Аппарат Айтекебийского районного маслихата" (далее – служащие корпуса "Б").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 годовым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структурное подразделение аппарата маслихата, в функциональные обязанности которого входит ведение работы кадровой службы.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в течение трех лет со дня завершения оценки хранятся у руководителя структурного подразделения аппарата маслихата, в функциональные обязанности которого входит ведение работы кадровой службы (далее – руководитель структурного подразделения).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 с соответствующими КЦИ, он вносится на рассмотрение вышестоящему руководителю для утверждения.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годового плана государственного учреждения "Аппарат Айтекебийского районного маслихата.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и подписывает его.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структурного подразделения не позднее 2 рабочих дней выносит его на рассмотрение Комиссии.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структурного подразделения не позднее 2 рабочих дней выносит его на рассмотрение Комиссии.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структурного подразделения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распоряжении о создании Комиссии.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структурного подразделения. Секретарь Комиссии не принимает участие в голосовании.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структурного подразделения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структурного подразделения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структурного подразделения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структурного подразделения и двумя другими служащими государственного органа.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решения Айтекебийского районного маслихата Актюбинской области от 29.03.2022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решением Айтекебийского районного маслихата Актюбинской области от 29.03.2022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