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b966" w14:textId="04f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2021 года № 9/65. Зарегистрировано в Министерстве юстиции Республики Казахстан 29 декабря 2021 года № 26174.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19 764 361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11 261 175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73 797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828 833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7 600 556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19 745 537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-7 711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26 535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- 26 535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1 241 680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1 215 145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2022 год предусмотрены cубвенции в сумме 5 022 013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2022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2022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2022 год – 20 985 тысяч тенге, 2023 год – 22 034 тысяч тенге и 2024 год – 23 136 тысяч тенге и в бюджет поселка Гулшат в сумме: 2022 год – 45 214 тысяч тенге, 2023 год – 47 475 тысяч тенге и 2024 год – 49 848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2022 год целевые текущие трансферты бюджету поселка Гулшат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2022 год целевые текущие трансферты бюджету поселка Саяк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2022 год в сумме 33 886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2022 год предусмотрен возврат неиспользованных (недоиспользованных) целевых трансфертов, выделенных в 2021 году, в сумме 55 855 тысячи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12/97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Установить, что в составе затрат городского бюджета на 2022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2021 году, в сумме 238 550 тысячи тенге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12/97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 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12/97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12/97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автоматизированного автодрома с павильоном для курсантов 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линии электропередач 10/0.4кВ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модернизацию подстанций № 1,2,3 и Городская 110/10 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12/97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