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539d" w14:textId="10b5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10 февраля 2021 года № 18. Зарегистрировано Департаментом юстиции Карагандинской области 19 февраля 2021 года № 6196. Утратило силу решением Актогайского районного маслихата Карагандинской области от 26 декабря 2024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Карагандинской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Актогайского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Расходы на содержание общего имущества объекта кондоминиума доля предельно-допустимых расходов семьи устанавливается к совокупному доходу семьи (гражданина) в размере 10 процентов.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Определение нормативов оказания жилищной помощи";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назначения и выплаты жилищной помощи";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Сроки и периодичность предоставления жилищной помощи";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обращения и назначения жилищной помощи";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