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391f" w14:textId="d4b3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Бухар-Жырауского районного маслихата от 5 января 2021 года № 4 "О бюджетах сел, поселков и сельских округов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29 апреля 2021 года № 5. Зарегистрировано Департаментом юстиции Карагандинской области 6 мая 2021 года № 6328.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Бухар-Жырауского районного маслихата от 5 января 2021 года № 4 "О бюджетах сел, поселков и сельских округов района на 2021-2023 годы" (зарегистрировано в Реестре государственной регистрации нормативных правовых актов за № 6146, опубликовано в Эталонном контрольном банке нормативных правовых актов Республики Казахстан в электронном виде 12 января 2021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229 630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218 630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237 041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7 411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126 894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109 250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103 750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112 281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3 031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59 243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104 127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6 320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97 807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104 128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47 730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90 107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7 600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82 507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102 791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12 684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47 645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79 213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6 550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72 663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83 275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52 428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Керней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55 109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1 337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53 772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55 112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44 107 тысяч тенге. 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60 233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2 640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57 593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63 234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3 001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47 743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57 645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1 340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56 305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58 921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1 276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40 892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83 751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3 610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79 751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86 128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63 210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159 600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14 000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145 600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170 102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10 502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62 974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41 845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593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41 252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42 533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30 229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40 388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520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39 868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40 776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25 897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35 077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34 577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35 308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27 487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40 570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684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39 886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40 676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29 814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Бухар-Жырауского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51 745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51 245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52 160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24 890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Ботакара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41 804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1 782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40 022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42 945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1 141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33 690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54 126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836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53 290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54 522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33 184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45 845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880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44 965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46 042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32 657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64 988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1 040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63 948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65 390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42 472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49 316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913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48 403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49 913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32 682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51 051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910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50 141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51 306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34 748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59 752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2 170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57 582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59 752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43 149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64 770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1 350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63 420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65 244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43 314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35 806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216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35 590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35 848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24 317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39 040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2 700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36 340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39 631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26 515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60 234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700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59 534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60 670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38 680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43 156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667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42 489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43 157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33 727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51 205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2 210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48 995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51 904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37 620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36 021 тысяч тенге, в том числе по: 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740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35 281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36 172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30 257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Юртанова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50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2021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50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2021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51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2021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2021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2021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0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2021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3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2021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2021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2021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2021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2021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1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2021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2021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7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2021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0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2021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2021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2021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2021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2021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2021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2021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1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2021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2021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7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2021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0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2021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3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2021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2021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сессии 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9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2021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