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7d1" w14:textId="7e46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2021 года № 223. Зарегистрировано Департаментом юстиции Костанайской области 6 мая 2021 года № 9901.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зарегистрированном в Реестре государственной регистрации нормативных правовых актов под № 20209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пестициды, биоагенты (энтомофаги)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г/л + дикамба,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в.р.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к.э.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с.п.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к.э.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дихлорфеноксиуксусной кислоты,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г/л + флорасулам,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к.к.р.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 3,6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в.г.р.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к.э.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г/л + пираклостробин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в.д.г.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к.э.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 водорастворимые гранулы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в.г.р. водно-гликолевый раствор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 водно-диспергируемые гранулы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в.с.к. водно-суспензионный концентрат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водный концентрат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 водный раствор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в.р.к. водорастворимый концентрат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 водная эмульсия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 заводская бинарная упаковка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концентрат суспензии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концентрат коллоидного раствора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концентрат эмульсии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м.в.с.к. масляно-водный суспензионный концентрат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масляная дисперсия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масляный концентрат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микрокапсулированная эмульсия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 масляный концентрат эмульсии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р.п. растворимый порошок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суспензионный концентрат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смачивающийся порошок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 сухая текучая суспензия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суспензионная эмульсия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 эмульсия масляно-водная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грамм/литр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грамм/килограмм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5 898 526,0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5 403 863,0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