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d915" w14:textId="132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82/2. Зарегистрировано Департаментом юстиции Северо-Казахстанской области 8 января 2021 года № 6887.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–581221,9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556958,9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583899,3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бюджеты города районного значения являются: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сборы физических и юридических лиц;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города районного значения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доходы от коммунальной собственности города районного значения (коммунальной собственности местного самоуправления);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неналоговые поступления в бюджеты города районного значения.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Поступлениями в бюджеты города районного значения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5.Учесть в бюджете города Мамлютка на 2021 год целевые текущие трансферты выделяемые из районного бюджета в сумме 91643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объемы целевых текущих трансфертов передаваемых из районного бюджета в бюджет города Мамлютка Мамлютского района Северо-Казахстанской области на 2021 год, в сумме 36658,9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новой редакции от 04.10.2021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Направить свободные остатки бюджетных средств, сложившихся на 1 января 2021 года в сумме 2677,4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районного бюджета в бюджет города районного значения на 2021 год, в сумме 41769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