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14ee" w14:textId="b091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2020 года № 71/338-VІ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29 апреля 2021 года № 6/30-VII. Зарегистрировано Департаментом юстиции Туркестанской области 13 мая 2021 года № 6209.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за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6175,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23 декабря 2020 года № 71/338-VІ "О городском бюджете на 2021-2023 годы" (зарегистрированного в Реестре государственной регистрации нормативных правовых актов за № 5987, опубликованного в эталонном контрольном банке нормативных правовых актов Республики Казахстан в электронном виде 31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83 850 339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12 097 908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14 110 600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57 572 273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103 770 441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-19 921 802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19 921 802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32 048 168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13 828 000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1 701 634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97,8 процентов, в областной бюджет 2,2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99,8 процентов, в областной бюджет 0,2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83 850 339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103 770 441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69 195 605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-19 921 802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6/30-VII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