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5d8b" w14:textId="4ac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2022 года № 70. Зарегистрирован в Министерстве юстиции Республики Казахстан 24 января 2022 года № 26612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согласно приложению 2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апелляции по внутреннему государственному аудиту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302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Апелляционная комиссия), включающий работников Министерства финансов Республики Казахстан и его ведомств, представителей Национальной палаты предпринимателей Республики Казахстан "Атамекен" (по согласованию) и отраслевых ассоциаций (по согласованию), в количестве не менее 7 (семи) человек входят: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Апелляционной комиссии;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 в количестве не менее 5 (пяти) человек.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302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 и обжалованию решений, действий (бездействия) уполномоченного органа по внутреннему государственному аудиту и (или) его должностных лиц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58-2 Закона Республики Казахстан "О государственном аудите и финансовом контроле" (далее – Закон о госаудите).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Апелляционная комиссия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Апелляционная комиссия),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 РК),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госаудите, законами Республики Казахстан, актами Президента, Правительства Республики Казахстан, а также настоящим Положением.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настоящем Положении применяются следующие понятия: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Апелляционной комиссии (далее – Рабочий орган) – структурное подразделение уполномоченного органа, обеспечивающее организацию работы Апелляционной комиссии;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возражение – несогласие объекта государственного аудита с аудиторским отчетом или аудиторским отчетом по финансовой отчетности, уведомлением об устранении нарушений, выявленных по результатам камерального контроля уполномоченным органом по внутреннему государственному аудиту, поданное по форме,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(далее – правила проведения внутреннего государственного аудита и финансового контроля) (зарегистрирован в Реестре государственной регистрации нормативных правовых актов под № 16689),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утвержденными приказом Министра финансов Республики Казахстан от 30 ноября 2015 года № 598 "Об утверждении Правил проведения камерального контроля" (далее – правила проведения камерального контроля) (зарегистрирован в Реестре государственной регистрации нормативных правовых актов под № 12599);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Апелляционной комиссии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Апелляционная комиссия создается при уполномоченном органе.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Апелляционной комиссии руководит деятельностью Апелляционной комиссии и председательствует на ее заседаниях.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на заседании Апелляционной комиссии Председателя Апелляционной комиссии его функции выполняет заместитель Председателя Апелляционной комиссии.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Секретарем Апелляционной комиссии является представитель Рабочего органа.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 не является членом Апелляционной комиссии.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Апелляционной комиссии проводятся еженедельно по вторникам и четвергам, по мере поступления возражений, обжалований решений, действий (бездействия) уполномоченного органа и (или) его должностных лиц (далее – жалоба), в том числе посредством видеоконференцсвязи.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своевременности рассмотрения возражений (жалоб) заседания Апелляционной комиссии проводятся в другие дни недели.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за ним рабочий день.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не проводится, если на таком заседании отсутствуют Председатель Апелляционной комиссии и его заместитель.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 заседания Апелляционной комиссии фиксируется с помощью технических средств аудиофиксации.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Заседание Апелляционной комиссии считается правомочным при наличии кворума.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Апелляционной комиссии кворум составляет не менее половины от количества членов Апелляционной комиссии, включая Председателя Апелляционной комиссии и его заместителя.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Апелляционной комиссии принимается простым большинством голосов членов, присутствующих на заседании путем открытого голосования, в том числе посредством системы электронного документооборота.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Апелляционной комиссии либо замещающий его заместитель Председателя Апелляционной комиссии.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Апелляционной комиссии не рассматривает жалобу и не выражает свою позицию, а также не принимает участие в голосовании, если подавший жалобу является такому члену Апелляционной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 имеется прямая или косвенная заинтересованность (конфликт интересов).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предусмотренных пунктом 11 настоящего Положения, заявляется отвод или самоотвод.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отводе или самоотводе члена Апелляционной комиссии принимается Апелляционной комиссией большинством голосов ее членов, участвующих в заседании, в письменной произвольной форме, содержащей фамилию, имя, отчество (при его наличии) члена Апелляционной комиссии, причину отвода или самоотвода и оглашается в присутствии члена Апелляционной комиссии.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Возражение, жалоба подаются в Апелляционную комиссию и рассматриваются в пределах заявленных требований (доводов) в порядке и сроки, определенные главой 11-1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госаудите, правилами проведения внутреннего государственного аудита и финансового контроля, правилами проведения камерального контроля, а также настоящим Положением.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части, неурегулированной указанными нормативными правовыми актами, отношения, связанные с подачей и рассмотрением возражений, жалоб, регулируются АППК РК.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Рабочий орган не позднее 2 (двух) рабочих дней, следующих за днем получения возражения, жалобы, направляет, в том числе посредством системы электронного документооборота, в ведомство уполномоченного органа и (или) территориальное подразделение ведомства уполномоченного органа запрос о представлении информации с подробным обоснованием и пояснением позиции по всем заявленным в возражении, жалобе требованиям (доводам).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запрос, указанный в части первой настоящего пункта, ведомством уполномоченного органа, территориальным подразделением ведомства уполномоченного органа представляется в Рабочий орган в срок не позднее 2 (двух) рабочих дней с даты получения такого запроса.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Рабочий орган в срок не позднее 5 (пяти) рабочих дней, следующих за днем получения возражения, жалобы, на основе изучения и анализа возражения, жалобы, а также других документов и сведений, касающихся обжалуемых вопросов, формирует и направляет членам Апелляционной комиссии справку по результатам изучения и анализа возражений, жалобы (далее – Справка) с приложением соответствующих материалов (результаты анализа в разрезе обжалуемых вопросов, копии возражения, жалобы, ответы на запросы), в том числе относящиеся к охраняемой законом тайне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о госсекретах).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содержит следующие сведения: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бизнес–идентификационный номер (далее – БИН)/ индивидуальный идентификационный номер (далее – ИИН) лица, подавшего возражение, жалобу;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чьи акты, действия (бездействие) обжалуются;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обжалуемых вопросов;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в разрезе обжалуемых вопросов;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сведения, касающиеся возражения, жалобы.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материалы направляются членам Апелляционной комиссии: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работниками государственных органов – посредством системы электронного документооборота;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на адреса электронной почты, представленные ими в Рабочий орган.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приложения заявителем к возражению, жалобе дополнительных материалов члены Апелляционной комиссии ознакамливаются с такими материалами в Рабочем органе.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Апелляционной комиссии рассматривают Справку и материалы, указанные в пункте 15 настоящего Положения, и представляют в Рабочий орган, в том числе посредством системы электронного документооборота, свои позиции с аргументированными обоснованиями в разрезе обжалуемых вопросов для формирования проектов решения Апелляционной комиссии и результатов рассмотрения возражения, в срок не позднее 3 (трех) рабочих дней со дня получения ими таких материалов.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Апелляционной комиссии в случае непредставления позиций в сроки, указанные в части первой настоящего пункта, выражает свою позицию на соответствующем заседании Апелляционной комиссии.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Рабочий орган по предложениям членов Апелляционной комиссии либо по собственной инициативе направляет соответствующие запросы в структурные подразделения уполномоченного органа, государственные органы и другие организации о представлении информации, справок, документов, пояснений и (или) позиций по возникшим вопросам.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возражения приостанавливается в случае направления запроса в государственные органы, должностным и иным физическим и юридическим лицам, а также в компетентные органы иностранных государств до момента получения ответа, о чем сообщается объекту государственного аудита в течение 3 (трех) рабочих дней со дня приостановления срока рассмотрения.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возможности заявителю выразить свою позицию к проекту решения Апелляционной комиссии и результатам рассмотрения жалобы в форме заслушивания Рабочий орган уведомляет заранее, но не позднее чем за 3 (три) рабочих дня до принятия окончательного решения Апелляционной комиссии.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осуществляется путем: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приглашения заявителя на заслушивание по административному делу, в том числе посредством видеоконференцсвязи или иных средств коммуникации;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информационных систем;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способов связи, позволяющих заявителю изложить свою позицию.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не применяется в случаях, если: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благоприятное решение;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этом ходатайствует заявитель.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 решении указываются доводы, по которым заслушивание не проводилось.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предоставляет или высказывает возражение к решению в срок не позднее 2 (двух) рабочих дней со дня его получения.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 ведется протокол заслушивания,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обеспечивает заявителю возможность ознакомиться с протоколом заслушивания.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Апелляционная комиссия по результатам рассмотрения возражения, жалобы выносит одно из следующих решений: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возражения, жалобы;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возражения, жалобы с обоснованием принятия такого решения.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Решения, вынесенные Апелляционной комиссией, а также голосование членов Апелляционной комиссии по результатам рассмотрения возражений, жалоб отражаются в протоколе заседания Апелляционной комиссии (далее – Протокол) по форме согласно приложению к настоящему Положению, формируемый, в том числе посредством системы электронного документооборота.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Рабочим органом формируется в течение 1 (одного) рабочего дня, следующего за днем заседания.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Протокол подписывается членами Апелляционной комиссии, присутствовавших на заседании Апелляционной комиссии, в течение 1 (одного) рабочего дня, следующего за днем получения проекта протокола, в том числе посредством системы электронного документооборота.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случае рассмотрения на заседании Апелляционной комиссии вопросов по двум и более возражениям, жалобам по каждому возражению, жалобе оформляется отдельный Протокол.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Протокол приобщается к материалам соответствующего возражения, жалобы.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случае принятия Председателем Апелляционной комиссии решения о переносе заседания Апелляционной комиссии или назначении дополнительного заседания Апелляционной комиссии Протокол по соответствующему возражению, жалобе не заполняется.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Апелляционной комиссии выносится в письменной форме и является обязательным для исполнения объектом государственного аудита.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возражения, жалобы оформляются в течение 2 (двух) рабочих дней со дня вынесения решения Апелляционной комиссией.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государственных закупок решения Апелляционной комиссии размещаются на веб-портале государственных закупок в течение 1 (одного) рабочего дня со дня направления заявителю результатов рассмотрения возражения, жалобы.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Апелляционная комиссия отказывает в рассмотрении возражения, жалобы, порядок и сроки подачи которых не соответствуют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госаудите.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рассмотрении возражения, жалобы Рабочий орган в течение 5 (пяти) рабочих дней со дня поступления возражения, жалобы извещает в письменной форме объект государственного аудита, заявителя.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поступлении повторного возражения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контроля, которые ранее обжаловались и по которым уполномоченным органом или ведомством уполномоченного органа было вынесено решение, уполномоченный орган и ведомство уполномоченного органа оставляют такое возражение без рассмотрения, а также без вынесения на заседание Апелляционной комиссии.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обращения объекта государственного аудита или заявителя с ходатайством о прекращении рассмотрения возражения, жалобы, такие возражение, жалоба уполномоченным органом или ведомством уполномоченного органа оставляются без рассмотрения, с уведомлением членов Апелляционной комиссии.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Информация, составляющая коммерческую тайну, служебную и иную охраняемую законом тайну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госсекретах, полученная членами Апелляционной комиссии при осуществлении своих функций, не подлежит разглашению.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вмешательство в деятельность Апелляционной комиссии, Рабочего органа при осуществлении ими своих полномочий и оказание какого-либо воздействия на членов Апелляционной комиссии, а также на представителей Рабочего органа.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Решение, принятое Апелляционной комиссией, обжалуется в суде в соответствии с требованиями АППК РК.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возражений к аудиторскому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отчету или аудиторскому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уведомлению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камерального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обжалованию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его должностных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Times New Roman"/>
          <w:b/>
          <w:i w:val="false"/>
          <w:color w:val="000000"/>
        </w:rPr>
        <w:t>заседания Апелляционной комиссии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"__" _______ 20 года</w:t>
      </w:r>
    </w:p>
    <w:bookmarkEnd w:id="94"/>
    <w:p>
      <w:pPr>
        <w:spacing w:after="0"/>
        <w:ind w:left="0"/>
        <w:jc w:val="both"/>
      </w:pPr>
      <w:bookmarkStart w:name="z109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ПРИСУТСТВОВАЛИ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Председатель/Заместитель Председателя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ПРИГЛАШЕННЫЕ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приглашенных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Возражение,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наименование объекта государственного аудита,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(бизнес-идентификационный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обжалуемого аудиторского отчета или аудиторского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финансовой отчетности,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уполномоченным органом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аудиту, обжалуемого решения, действий (бездействия)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внутреннему государственному аудиту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вынесшего обжалуемый аудиторский отчет или аудиторский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по финансовой отчетности, уведомление об устранении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по результатам камерального контроля, обжалуемое решение,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(бездействие)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 и (или) его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присутствовавших членов Апелляционной комиссии: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членов Апелляционной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вопроса/ фамилия, имя и отчество (при его наличии) члена Апелляционной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членов Апелляционной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за/против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96"/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голосования членов Апелляционной комиссии принято РЕШЕНИЕ: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или частичном удовлетворении возражения, жалобы,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удовлетворении возражения, жалобы в пределах заявленных требований (доводов),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обоснованием принятия такого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Председатель/Заместитель Председателя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