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5d10" w14:textId="0cf5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экологии, геологии и природных ресурсов Республики Казахстан от 31 января 2020 года № 27 "Об утверждении Правил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16 марта 2022 года № 78. Зарегистрирован в Министерстве юстиции Республики Казахстан 25 марта 2022 года № 27224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31 января 2020 года № 27 "Об утверждении Правил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(аквакультуры)" (зарегистрирован в Реестре государственной регистрации нормативных правовых актов за № 19957)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77-10)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 (далее – Правила) разработаны в соответствии с подпунктом 77-10)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 (далее – Закон) и определяют порядок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Субъект рыбного хозяйства переводит рыбохозяйственные водоемы и (или) участки, закрепленные для ведения промыслового рыболовства, в рыбохозяйственные водоемы и (или) участки для ведения рыбоводства (аквакультуры), при наличии биологического обоснования аккредитованной научной организации в области охраны, воспроизводства и использования животного мира.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 рыбного хозяйства при переводе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(аквакультуры), представляет в территориальное подразделение ведомства уполномоченного органа следующие документы: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рыбохозяйственных водоемов и (или) участков, закрепленных для ведения промыслового рыболовства в рыбохозяйственные водоемы и (или) участки для ведения рыбоводства (аквакультуры) по форме, согласно приложению 1 к настоящим Правилам;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биологическое обоснование;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развития субъектов рыбного хозяйства, утвержденный руководителем субъекта рыбного хозяйства по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Министра сельского хозяйства Республики Казахстан от 31 марта 2015 года № 18-04/287 "Об утверждении типовой формы плана развития субъектов охотничьего и рыбного хозяйств" (зарегистрирован в Реестре государственной регистрации нормативных правовых актов за № 10890) (далее – План развития).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Территориальное подразделение ведомства уполномоченного органа в течение пяти рабочих дней рассматривает документы, предусмотренные пунктом 5 настоящих Правил и выносит на рассмотрение комиссии."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