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faaf" w14:textId="213f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сделок, связанных с переходом права собственности на минеральное сырье до аффинажа и (или) на необработанные драгоценные камни, а также использованием их в качестве залога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марта 2022 года № 159. Зарегистрирован в Министерстве юстиции Республики Казахстан 30 марта 2022 года № 27304.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драгоценных металлах и драгоценных камнях",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в)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Соглашения об особенностях осуществления операций с драгоценными металлами и драгоценными камнями в рамках Евразийского экономического союза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сделок, связанных с переходом права собственности на минеральное сырье до аффинажа и (или) на необработанные драгоценные камни, а также использованием их в качестве залога.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 № 159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сделок, связанных с переходом права собственности на минеральное сырье до аффинажа и (или) на необработанные драгоценные камни, а также использованием их в качестве залога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сделок, связанных с переходом права собственности на минеральное сырье до аффинажа и (или) на необработанные драгоценные камни, а также использованием их в качестве залога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драгоценных металлах и драгоценных камнях",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в)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Соглашения об особенностях осуществления операций с драгоценными металлами и драгоценными камнями в рамках Евразийского экономического союза и определяют порядок учета сделок, связанных с переходом права собственности на минеральное сырье до аффинажа и (или) на необработанные драгоценные камни, а также использованием их в качестве залога (далее – учет сделок).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драгоценные камни – природные алмазы, изумруды, рубины, сапфиры и александриты, а также природный жемчуг в сыром (естественном) и обработанном виде. К драгоценным камням приравниваются уникальные янтарные образования;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минеральное сырье – добытые из недр и содержащие драгоценные металлы руды коренных месторождений, пески россыпных месторождений, руды и пески техногенных месторождений, концентраты, шлиховые золото и платина, сплав Доре, катодный металл и цинковые осадки, а также полиметаллические (комплексные) руды, содержащие драгоценные металлы, извлекаемые промышленным способом;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области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изделий.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учета сделок, связанных с переходом права собственности на минеральное сырье до аффинажа и (или) на необработанные драгоценные камни, а также использованием их в качестве залога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Заявление для постановки на учет сделки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 направляется в уполномоченный орган юридическими лицами и индивидуальными предпринимателями.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и индивидуальные предприниматели к заявлению прилагают: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справки о государственной регистрации (перерегистрации) юридического лица/индивидуального предпринимателя, с указанием бизнес-идентификационного номера/индивидуального-идентификационного номера;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заверенную копию договора (контракта), подтверждающего сделку, связанную с переходом права собственности на минеральное сырье до аффинажа и (или) на необработанные драгоценные камни, а также использованием их в качестве залога.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Обработка информации по учету сделок, согласно пункту 3 настоящих Правил, осуществляется уполномоченным органом в течение 3 (трех) рабочих дней со дня приема документов и формируется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изменения данных в документах, указанных в пункте 3 настоящих Правил, юридические лица и индивидуальные предприниматели в течение 10 (десяти) рабочих дней сообщают в уполномоченный орган, с приложением копии подтверждающих документов.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установления факта неполноты представленных документов, указанных в пункте 3 настоящих Правил, уполномоченный орган уведомляет юридическое лицо и индивидуального предпринимателя в течение 1 (одного) рабочего дня со дня приема документов.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повторного предоставления юридическим лицом и индивидуальным предпринимателем полного пакета документов, уполномоченный орган формирует информацию по учету сделок в порядке, предусмотренном пунктом 4 настоящих Правил.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Факт принятия на учет сделки подтверждается наличием соответствующей информации, который размещается на интернет-ресурсе уполномоченного органа – www.gov.kz/memleket/entities/comprom.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сделок,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переходом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на минеральное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до аффинажа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необработанные драгоценные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камни, а также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качестве залога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(далее -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его представителя по доверенности)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 улица, № дома,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постановки на учет сделки</w:t>
      </w:r>
    </w:p>
    <w:bookmarkEnd w:id="24"/>
    <w:p>
      <w:pPr>
        <w:spacing w:after="0"/>
        <w:ind w:left="0"/>
        <w:jc w:val="both"/>
      </w:pPr>
      <w:bookmarkStart w:name="z35" w:id="25"/>
      <w:r>
        <w:rPr>
          <w:rFonts w:ascii="Times New Roman"/>
          <w:b w:val="false"/>
          <w:i w:val="false"/>
          <w:color w:val="000000"/>
          <w:sz w:val="28"/>
        </w:rPr>
        <w:t>
      Прошу поставить на учет сделку(и), связанную(ых) с переходом права собственности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минеральное сырье до аффинажа и (или) на необработанные драгоценные камни,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использованием их в качестве залога.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Предлагаемый перечень документов: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подписывающего)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сделок,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переходом права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минеральное сырье до аффинажа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на необработанные драгоценные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камни, а также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качестве залога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учету сделок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адрес/адрес места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наименование договора (контракта), подтверждающего сделку, связанную с переходом права собственности на минеральное сырье до аффинажа и (или) на необработанные драгоценные камни, а также использованием их в качестве залога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документа об учете сделки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