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c67b" w14:textId="cccc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30 марта 2022 года № 258. Зарегистрирован в Министерстве юстиции Республики Казахстан 31 марта 2022 года № 27310</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1) Правила оказания государственной услуги "Государственная регистрация юридических лиц, учетная регистрация их филиалов и представительств" согласно приложению 1 к настоящему приказу;</w:t>
      </w:r>
    </w:p>
    <w:bookmarkEnd w:id="3"/>
    <w:bookmarkStart w:name="z9" w:id="4"/>
    <w:p>
      <w:pPr>
        <w:spacing w:after="0"/>
        <w:ind w:left="0"/>
        <w:jc w:val="both"/>
      </w:pPr>
      <w:r>
        <w:rPr>
          <w:rFonts w:ascii="Times New Roman"/>
          <w:b w:val="false"/>
          <w:i w:val="false"/>
          <w:color w:val="000000"/>
          <w:sz w:val="28"/>
        </w:rPr>
        <w:t>
      2) Правила оказания государственной услуги "Государственная перерегистрация юридических лиц, учетная перерегистрация их филиалов и представительств"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3) Правила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согласно приложению 3 к настоящему приказу;</w:t>
      </w:r>
    </w:p>
    <w:bookmarkEnd w:id="5"/>
    <w:bookmarkStart w:name="z11" w:id="6"/>
    <w:p>
      <w:pPr>
        <w:spacing w:after="0"/>
        <w:ind w:left="0"/>
        <w:jc w:val="both"/>
      </w:pPr>
      <w:r>
        <w:rPr>
          <w:rFonts w:ascii="Times New Roman"/>
          <w:b w:val="false"/>
          <w:i w:val="false"/>
          <w:color w:val="000000"/>
          <w:sz w:val="28"/>
        </w:rPr>
        <w:t>
      4) Правила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5) Правила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6)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 утвержденных данным приказом, утвержденных данным приказом:</w:t>
      </w:r>
    </w:p>
    <w:bookmarkEnd w:id="9"/>
    <w:bookmarkStart w:name="z15"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вносятся изменения на казахском языке, тексты на русском языке не меняются;</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12"/>
    <w:bookmarkStart w:name="z18"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автоматизированная)/бумажная/оказываемая по принципу "одного заявления"</w:t>
            </w:r>
          </w:p>
        </w:tc>
      </w:tr>
    </w:tbl>
    <w:bookmarkStart w:name="z19" w:id="14"/>
    <w:p>
      <w:pPr>
        <w:spacing w:after="0"/>
        <w:ind w:left="0"/>
        <w:jc w:val="both"/>
      </w:pPr>
      <w:r>
        <w:rPr>
          <w:rFonts w:ascii="Times New Roman"/>
          <w:b w:val="false"/>
          <w:i w:val="false"/>
          <w:color w:val="000000"/>
          <w:sz w:val="28"/>
        </w:rPr>
        <w:t>
      ",</w:t>
      </w:r>
    </w:p>
    <w:bookmarkEnd w:id="14"/>
    <w:bookmarkStart w:name="z20" w:id="15"/>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В Государственную корпорацию для государственной регистрации юридических лиц:</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заявления по формам согласно приложениям: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государственной (учетной) регистрации юридического лица, филиала (представительства); заявление о государственной регистрации хозяйственных товариществ, осуществляющих свою деятельность на основании типового устава; заявление о государственной регистрации акционерного общества, осуществляющего свою деятельность на основании типового устава; заявление о государственной регистрации производственного кооператива, осуществляющего свою деятельность на основании типового устава; заявление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к Правилам (далее –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Юридические лица с участием государства представляют заявление с отметкой реестродержателя.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регистрация юридических лиц, относящихся к субъектам среднего и крупного предпринимательства с иностранным участием, за исключением лиц, не имеющих идентификационных номеров, согласно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национальных реестрах идентификационных номеров", производится в порядке, установленном для государственной регистрации юридических лиц Республики Казахстан, относящихся к субъектам среднего и крупного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иное не установлено международными договорами, ратифицированными Республикой Казахстан, то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копия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за исключением акционерного общества, осуществляющего свою деятельность на основании типового устава; протокол учредительного собрания, либо решение единственного участника; квитанция или иной документ, подтверждающий уплату в бюджет сбора за государственную регистрацию или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регистрация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регистрирующим органом с согласия антимонопольного органа. Коммандитное товарищество: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товарищество: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Производственный кооператив: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список членов производственного кооператива с указанием фамилии, имени, отчества (при его наличии), ИИН, места жительства; 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Потребительский кооператив: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учредительный договор; квитанция или иной документ, подтверждающий уплату в бюджет сбора за государственную регистрацию; потребительским кооперативом представляется список членов этого кооператива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Товарищество с дополнительной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 Товарищество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предприятие: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устав; решение Правительства Республики Казахстан или местного исполнительного органа о создании предприятия;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о создании государственного учреждения; положение (устав);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Жилищно-строительный кооператив и жилищный кооператив: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Жилищным и жилищно-строительным кооперативами представляется также список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Кооператив собственников помещений (квартир):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 устав; документ, удостоверяющий местонахождение юридического лица; 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Объединение собственников 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протокол собрания; устав объединения собственников имущества; квитанция или иной документ, подтверждающие уплату в бюджет регистрационного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Коллегия адвокатов: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утвержденный учредительным собранием (конференцией) членов коллегии адвокатов; решение уполномоченного органа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Нотариальная палата: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утвержденный высшим органом управления нотариальной палаты; решение высшего органа управления об утверждении устава;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Фонд:</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учредительный договор (при числе учредителей более одного); решение уполномоченного органа об утверждении устава; решение коллегиального органа (попечительского совета) о назначении исполнительного органа;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Объединение: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принятый на учредительном съезде (конференции, собрании); протокол учредительного съезда (конференции, собрания), принявшего устав, подписанный председателем и секретарем съезда (конференции, собрания); список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документ, подтверждающий место нахождения общественного объединения;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политических партий дополнительно представляются: программа партии; списки членов партии, в составе которой должно быть не менее двадцати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(при наличии), ИИН, адреса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приложению 13 к Правилам, а также в соответствии со </w:t>
            </w:r>
            <w:r>
              <w:rPr>
                <w:rFonts w:ascii="Times New Roman"/>
                <w:b w:val="false"/>
                <w:i w:val="false"/>
                <w:color w:val="000000"/>
                <w:sz w:val="20"/>
              </w:rPr>
              <w:t>статьей 6</w:t>
            </w:r>
            <w:r>
              <w:rPr>
                <w:rFonts w:ascii="Times New Roman"/>
                <w:b w:val="false"/>
                <w:i w:val="false"/>
                <w:color w:val="000000"/>
                <w:sz w:val="20"/>
              </w:rPr>
              <w:t xml:space="preserve"> Закона Республики Казахстан "О политических партиях":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 список инициативной группы граждан по созданию политической партии на электронном (в EXCEL формате) и бумажном носителях по форме, согласно приложению 13-1 к Правилам и сведения о членах организационного комитета на электронном и бумажном носителях по форме, согласно приложению 14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приложению 15 к Правилам, подтверждающий их представление.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политических партий дополнительно представляются: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программа партии; списки членов партии, в составе которой должно быть не менее двадцати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по форме, согласно приложению 16 к Правилам на электронном (в EXCEL формате) и бумажном носителях.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учредительный договор, подписанный всеми учредителями объединения;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Палата аудиторов: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Религиозное объединение: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религиозного объединения, подписанный руководителем религиозного объединения; протокол учредительного собрания (съезда, конференции); список граждан-инициаторов создаваемого религиозного объединения на электронном и бумажном носителях по форме, согласно приложению 17 к Правилам; документ, подтверждающий место нахождения религиозного объединения;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 квитанция или иной документ, подтверждающий уплату в бюджет сбора за государственную регистрацию;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 религиозное объединение, имеющее руководящий центр вне пределов республики, дополнительно представляет: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копию устава зарубежного центра с нотариально удостоверенным переводом на казахском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регистрации представляется решение уполномоченного органа религиозного управления (центра) об их создании.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собственника о создании учреждения; положение (устав); учредительный договор или аналогичное соглашение (при числе собственников (учредителей) более одного);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Палата оценщиков: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Палата юридических консультантов: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Адвокатская контора: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устав; решение уполномоченного органа о создании юридического лица;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учетной регистрации филиалов (представительств): филиал (представительство) казахстанского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об учетной регистрации по форме, согласно приложению 1 к Правилам (далее –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двух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руководитель юридического лица является руководителем филиала (представительства), то предоставление в регистрирующий орган доверенности не требуется.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(представительство) иностранного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об учетной регистрации по форме, согласно приложению 1 к Правилам (далее – заявление); положение о филиале (представительстве), утвержденное органом юридического лица;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решение юридического лица о создании филиала (представительства) с нотариально засвидетельствованным переводом на казахский и русский языки;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копия учредительных документов юридического лица с нотариально засвидетельствованным переводом на казахский и русский языки; квитанция или иной документ, подтверждающие уплату в бюджет регистрационного сбора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создаваемого путем реорганизации, подаются: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согласно приложениям 1, 2, 3 и 4 (далее – заявление) к Правилам;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Республики Казахстан;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подтверждающий письменное уведомление кредиторов о реорганизации юридического лица; квитанция или иной документ, подтверждающий уплату в бюджет сбора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документов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с открытием банковского счета и обязательным страхованием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9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относящегося к субъекту среднего предпринимательства, учредителем (учредителями) заполняется форма о государственной регистрации субъекта среднего предпринимательства и открытие банковского счета и на обязательное страхование работника от несчастных случаев (за исключением случаев, когда учредитель (учредители) юридического лица осуществляет (осуществляют) деятельность без вступления в трудовые отношения с физическими лицами) по форме, согласно приложению 5 к Правилам. Для государственной регистрации юридических лиц, филиалов и представительств (за исключением политических партий и религиозных объединений):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(положения); оплата регистрационного сбора через платежный шлюз "электронного правительства"; электронная копия документа, подтверждающего место нахождения общественного объединения; электронная копия решения уполномоченного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за исключением акционерного общества, осуществляющего свою деятельность на основании типового устава; электронная копия протокола учредительного собрания, либо решение единственного участника; оплата регистрационного сбора через платежный шлюз "электронного правительства"; электронная копия предварительного согласия антимонопольного органа, в случае если юридическое лицо относится к субъекту рынка, занимающего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коммандитного товарищества: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полного товарищества: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производственного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списка членов производственного кооператива с указанием фамилии, имени, отчества (при его наличии), ИИН, места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потребительского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электронная копия учредительного договора;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ИИН и места жительства – для граждан, и сведений о месте нахождения, банковских реквизитах и БИН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товарищества с дополнительной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товарищества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 за исключением юридических лиц, относящихся к субъектам малого и среднего предпринимательства.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государственного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электронная копия решения Правительства Республики Казахстан или местного исполнительного органа о создании предприятия;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государственного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решения о создании государственного учреждения; электронная копия положения (устав);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жилищно-строительного кооператива и жилищного кооператива: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оплата регистрационного сбора через платежный шлюз "электронного правительства" электронная копия списка членов этих кооперативов с указанием их фамилии, имени, отчества (при его наличии), места жительства и 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кооператива собственников помещений (квартир):</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протокола учредительного собрания собственников помещений (квартир) в объекте кондоминиума или протокола с листами голосования по итогам письменного опроса; электронная копия устава;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удостоверяющего местонахождение юридического лица; электронная копия государственного акта о регистрации или перерегистрации объекта кондоминиума, либо документа, подтверждающий государственную регистрацию объекта кондоминиума со штампом регистрирующего органа;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коллегии адвокатов: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утвержденного учредительным собранием (конференцией) членов коллегии адвокатов; электронная копия решения уполномоченного органа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нотариальной палаты: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утвержденного высшим органом управления нотариальной палаты; электронная копия решения высшего органа управления об утверждении устава;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электронная копия учредительного договора (при числе учредителей более одного); электронная копия решения уполномоченного органа об утверждении устава; электронная копия решения коллегиального органа (попечительского совета) о назначении исполнительного органа;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принятого на учредительном съезде (конференции, собрании); электронная копия протокола учредительного съезда (конференции, собрания), принявшего устав, подписанный председателем и секретарем съезда (конференции, собрания); электронная копия списка граждан-инициаторов общественного объединения с указанием фамилии, имени, отчества (при его наличии), ИИН, места жительства, домашнего и служебного телефонов, личной подписи; электронная копия документа, подтверждающего место нахождения общественного объединения;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объединения собственников имущества регистрация осуществляется посредством интеграции объектов информатизации и государственной базы данных "Юридические лица"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объединений юридических лиц в форме ассоциации (союза), объединений индивидуальных предпринимателей и юридических лиц, объединений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электронная копия учредительного договора, подписанный всеми учредителями объединения;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палаты аудиторов: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палаты оценщиков: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копия устава; электронная копия решения уполномоченного органа о создании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палаты юридических консультантов: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адвокатской конторы: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устава; электронная копия решения уполномоченного органа о создании юридического лица; оплата регистрационного сбора через платежный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учетной регистрации филиалов (представительств):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филиал (представительство) казахстанского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подается заявка об учетной регистрации; оплата регистрационного сбора через платежный шлюз "электронного правительства" за учетную регистрацию филиала (представительства) юридических лиц, относящихся к некоммерческим организациям или документ, подтверждающий уплату в Государственную корпорацию для филиала (представительства) юридических лиц, относящихся к коммерческим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электронная копия положения о филиале (представительстве)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 При создании филиала (представительства) государственным предприятием дополнительно представляется электронная копия документа, подтверждающего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 филиал (представительство) иностранного юридического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уведомление об учетной регистрации; электронная копия положения о филиале (представительстве), утвержденная органом юридического лица; электронная копия доверенности,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 электронная копия решения юридического лица о создании филиала (представительства) с нотариально засвидетельствованным переводом на казахский и русский языки; электронная копия легализованной выписки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 электронная копия учредительных документов юридического лица с нотариально засвидетельствованным переводом на казахский и русский языки; оплата регистрационного сбора через платежный шлюз "электронного правительства" за учетную регистрацию филиала (представительства) иностранной некоммерческой организации или документ, подтверждающий уплату в Государственную корпорацию для филиала (представительства) иностранной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регистрации юридического лица, создаваемого путем реорганизации, подаются: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уведомление; электронная копия решения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или решение суда в случаях, предусмотренных </w:t>
            </w:r>
            <w:r>
              <w:rPr>
                <w:rFonts w:ascii="Times New Roman"/>
                <w:b w:val="false"/>
                <w:i w:val="false"/>
                <w:color w:val="000000"/>
                <w:sz w:val="20"/>
              </w:rPr>
              <w:t>статьей 231</w:t>
            </w:r>
            <w:r>
              <w:rPr>
                <w:rFonts w:ascii="Times New Roman"/>
                <w:b w:val="false"/>
                <w:i w:val="false"/>
                <w:color w:val="000000"/>
                <w:sz w:val="20"/>
              </w:rPr>
              <w:t xml:space="preserve"> Предпринимательского кодекса Республики Казахстан, и </w:t>
            </w:r>
            <w:r>
              <w:rPr>
                <w:rFonts w:ascii="Times New Roman"/>
                <w:b w:val="false"/>
                <w:i w:val="false"/>
                <w:color w:val="000000"/>
                <w:sz w:val="20"/>
              </w:rPr>
              <w:t>пунктом 3</w:t>
            </w:r>
            <w:r>
              <w:rPr>
                <w:rFonts w:ascii="Times New Roman"/>
                <w:b w:val="false"/>
                <w:i w:val="false"/>
                <w:color w:val="000000"/>
                <w:sz w:val="20"/>
              </w:rPr>
              <w:t xml:space="preserve"> статьи 45 Гражданского кодекса Республики Казахстан; при слиянии, присоединении, преобразовании – электронная копия передаточного акта, при разделении, выделении – электронная копия разделительного баланса с указанием положений о правопреемстве по обязательствам реорганизованного юридического лица, утвержденные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 и разделительного баланса;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документа, подтверждающего письменное уведомление кредиторов о реорганизации юридического лица; оплата регистрационного сбора через платежный шлюз "электронного правительства" за прекращение деятельности реорганизованного юридического лица, относящегося к некоммерческой организации, или документ, подтверждающий уплату в Государственную корпорацию за прекращение деятельности реорганизованного юридического лица, относящегося к коммерческой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 Электронными копиями документов, подтверждающими местонахождение юридического лица, являются договор аренды и иной документ, предусмотренный гражданским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Учредительные документы юридических лиц, относящихся к коммерческим организациям, за исключением учредительных документов акционерных обществ и государственных предприятий, при государственной регистрации не представляются.</w:t>
            </w:r>
          </w:p>
          <w:p>
            <w:pPr>
              <w:spacing w:after="20"/>
              <w:ind w:left="20"/>
              <w:jc w:val="both"/>
            </w:pPr>
            <w:r>
              <w:rPr>
                <w:rFonts w:ascii="Times New Roman"/>
                <w:b w:val="false"/>
                <w:i w:val="false"/>
                <w:color w:val="000000"/>
                <w:sz w:val="20"/>
              </w:rPr>
              <w:t xml:space="preserve">
Учредительные документы юридических лиц, не относящихся к субъектам частного предпринимательства, представляются на казахском и русском языках. В случаях, предусмотренных </w:t>
            </w:r>
            <w:r>
              <w:rPr>
                <w:rFonts w:ascii="Times New Roman"/>
                <w:b w:val="false"/>
                <w:i w:val="false"/>
                <w:color w:val="000000"/>
                <w:sz w:val="20"/>
              </w:rPr>
              <w:t>статьей 6</w:t>
            </w:r>
            <w:r>
              <w:rPr>
                <w:rFonts w:ascii="Times New Roman"/>
                <w:b w:val="false"/>
                <w:i w:val="false"/>
                <w:color w:val="000000"/>
                <w:sz w:val="20"/>
              </w:rPr>
              <w:t xml:space="preserve"> Закона "О государственной регистрации юридических лиц и учетной регистрации филиалов и представительств" при государственной регистрации юридического лица, предметом деятельности которого является оказание финансовых услуг, Национальный реестр бизнес-идентификационных номеров получает сведения о наличии разрешения уполномоченного органа по регулированию, контролю и надзору финансового рынка и финансовых организаций посредством электронного уведомления.</w:t>
            </w:r>
          </w:p>
        </w:tc>
      </w:tr>
    </w:tbl>
    <w:bookmarkStart w:name="z159" w:id="18"/>
    <w:p>
      <w:pPr>
        <w:spacing w:after="0"/>
        <w:ind w:left="0"/>
        <w:jc w:val="both"/>
      </w:pPr>
      <w:r>
        <w:rPr>
          <w:rFonts w:ascii="Times New Roman"/>
          <w:b w:val="false"/>
          <w:i w:val="false"/>
          <w:color w:val="000000"/>
          <w:sz w:val="28"/>
        </w:rPr>
        <w:t>
      ";</w:t>
      </w:r>
    </w:p>
    <w:bookmarkEnd w:id="18"/>
    <w:bookmarkStart w:name="z16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 утвержденных данным приказом:</w:t>
      </w:r>
    </w:p>
    <w:bookmarkEnd w:id="19"/>
    <w:bookmarkStart w:name="z16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вносятся изменения на казахском языке, тексты на русском языке не меняются;</w:t>
      </w:r>
    </w:p>
    <w:bookmarkEnd w:id="20"/>
    <w:bookmarkStart w:name="z16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21"/>
    <w:bookmarkStart w:name="z163" w:id="22"/>
    <w:p>
      <w:pPr>
        <w:spacing w:after="0"/>
        <w:ind w:left="0"/>
        <w:jc w:val="both"/>
      </w:pPr>
      <w:r>
        <w:rPr>
          <w:rFonts w:ascii="Times New Roman"/>
          <w:b w:val="false"/>
          <w:i w:val="false"/>
          <w:color w:val="000000"/>
          <w:sz w:val="28"/>
        </w:rPr>
        <w:t>
      заголовок Стандарта государственной услуги "Государственная перерегистрация юридических лиц, учетная перерегистрация их филиалов и представительств" изложить в следующей редакции, заголовок на казахском языке не меняется:</w:t>
      </w:r>
    </w:p>
    <w:bookmarkEnd w:id="22"/>
    <w:bookmarkStart w:name="z164" w:id="23"/>
    <w:p>
      <w:pPr>
        <w:spacing w:after="0"/>
        <w:ind w:left="0"/>
        <w:jc w:val="both"/>
      </w:pPr>
      <w:r>
        <w:rPr>
          <w:rFonts w:ascii="Times New Roman"/>
          <w:b w:val="false"/>
          <w:i w:val="false"/>
          <w:color w:val="000000"/>
          <w:sz w:val="28"/>
        </w:rPr>
        <w:t>
      "Стандарт государственной услуги "Государственная перерегистрация юридических лиц, учетная перерегистрация их филиалов и представительств";</w:t>
      </w:r>
    </w:p>
    <w:bookmarkEnd w:id="23"/>
    <w:bookmarkStart w:name="z165" w:id="24"/>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24"/>
    <w:bookmarkStart w:name="z166"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bl>
    <w:bookmarkStart w:name="z167" w:id="26"/>
    <w:p>
      <w:pPr>
        <w:spacing w:after="0"/>
        <w:ind w:left="0"/>
        <w:jc w:val="both"/>
      </w:pPr>
      <w:r>
        <w:rPr>
          <w:rFonts w:ascii="Times New Roman"/>
          <w:b w:val="false"/>
          <w:i w:val="false"/>
          <w:color w:val="000000"/>
          <w:sz w:val="28"/>
        </w:rPr>
        <w:t>
      ";</w:t>
      </w:r>
    </w:p>
    <w:bookmarkEnd w:id="26"/>
    <w:bookmarkStart w:name="z16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утвержденных данным приказом:</w:t>
      </w:r>
    </w:p>
    <w:bookmarkEnd w:id="27"/>
    <w:bookmarkStart w:name="z169"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вносятся изменения на казахском языке, тексты на русском языке не меняются;</w:t>
      </w:r>
    </w:p>
    <w:bookmarkEnd w:id="28"/>
    <w:bookmarkStart w:name="z17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утвержденных данным приказом:</w:t>
      </w:r>
    </w:p>
    <w:bookmarkEnd w:id="29"/>
    <w:bookmarkStart w:name="z171"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вносятся изменения на казахском языке, тексты на русском языке не меняются;</w:t>
      </w:r>
    </w:p>
    <w:bookmarkEnd w:id="30"/>
    <w:bookmarkStart w:name="z17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об учетной регистрации (перерегистрации) их филиалов и представительств", утвержденных данным приказом:</w:t>
      </w:r>
    </w:p>
    <w:bookmarkEnd w:id="31"/>
    <w:bookmarkStart w:name="z173"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заголовок изложить в следующей редакции:</w:t>
      </w:r>
    </w:p>
    <w:bookmarkEnd w:id="32"/>
    <w:bookmarkStart w:name="z174" w:id="33"/>
    <w:p>
      <w:pPr>
        <w:spacing w:after="0"/>
        <w:ind w:left="0"/>
        <w:jc w:val="both"/>
      </w:pPr>
      <w:r>
        <w:rPr>
          <w:rFonts w:ascii="Times New Roman"/>
          <w:b w:val="false"/>
          <w:i w:val="false"/>
          <w:color w:val="000000"/>
          <w:sz w:val="28"/>
        </w:rPr>
        <w:t>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6" w:id="34"/>
    <w:p>
      <w:pPr>
        <w:spacing w:after="0"/>
        <w:ind w:left="0"/>
        <w:jc w:val="both"/>
      </w:pPr>
      <w:r>
        <w:rPr>
          <w:rFonts w:ascii="Times New Roman"/>
          <w:b w:val="false"/>
          <w:i w:val="false"/>
          <w:color w:val="000000"/>
          <w:sz w:val="28"/>
        </w:rPr>
        <w:t xml:space="preserve">
      "1. Правила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и определяет порядок оказания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(далее-государственная услуга).";</w:t>
      </w:r>
    </w:p>
    <w:bookmarkEnd w:id="34"/>
    <w:bookmarkStart w:name="z177" w:id="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35"/>
    <w:bookmarkStart w:name="z178" w:id="36"/>
    <w:p>
      <w:pPr>
        <w:spacing w:after="0"/>
        <w:ind w:left="0"/>
        <w:jc w:val="both"/>
      </w:pPr>
      <w:r>
        <w:rPr>
          <w:rFonts w:ascii="Times New Roman"/>
          <w:b w:val="false"/>
          <w:i w:val="false"/>
          <w:color w:val="000000"/>
          <w:sz w:val="28"/>
        </w:rPr>
        <w:t>
      "Приложение 4 к Правилам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36"/>
    <w:bookmarkStart w:name="z179"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w:t>
      </w:r>
    </w:p>
    <w:bookmarkEnd w:id="37"/>
    <w:bookmarkStart w:name="z180" w:id="38"/>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38"/>
    <w:bookmarkStart w:name="z181"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bl>
    <w:bookmarkStart w:name="z182" w:id="40"/>
    <w:p>
      <w:pPr>
        <w:spacing w:after="0"/>
        <w:ind w:left="0"/>
        <w:jc w:val="both"/>
      </w:pPr>
      <w:r>
        <w:rPr>
          <w:rFonts w:ascii="Times New Roman"/>
          <w:b w:val="false"/>
          <w:i w:val="false"/>
          <w:color w:val="000000"/>
          <w:sz w:val="28"/>
        </w:rPr>
        <w:t>
      ".</w:t>
      </w:r>
    </w:p>
    <w:bookmarkEnd w:id="40"/>
    <w:bookmarkStart w:name="z183" w:id="41"/>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интернет-ресурсе Министерства юстиции Республики Казахстан.</w:t>
      </w:r>
    </w:p>
    <w:bookmarkEnd w:id="41"/>
    <w:bookmarkStart w:name="z184" w:id="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42"/>
    <w:bookmarkStart w:name="z185" w:id="4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bookmarkStart w:name="z187"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