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9d35" w14:textId="d819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25 марта 2022 года № 111. Зарегистрирован в Министерстве юстиции Республики Казахстан 31 марта 2022 года № 27346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Республики Казахстан под № 16137)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подушевого нормативного финансирования дошкольного воспитания и обучения, среднего, технического и профессионального, послесреднего образования, а также высшего и послевузовского образования с учетом кредитной технологии обучения,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8" w:id="3"/>
    <w:p>
      <w:pPr>
        <w:spacing w:after="0"/>
        <w:ind w:left="0"/>
        <w:jc w:val="both"/>
      </w:pPr>
      <w:r>
        <w:rPr>
          <w:rFonts w:ascii="Times New Roman"/>
          <w:b w:val="false"/>
          <w:i w:val="false"/>
          <w:color w:val="000000"/>
          <w:sz w:val="28"/>
        </w:rPr>
        <w:t>
      "2) Nz - подушевой норматив финансирования на одного обучающегося в год рассчитывается по следующей формуле:</w:t>
      </w:r>
    </w:p>
    <w:bookmarkEnd w:id="3"/>
    <w:bookmarkStart w:name="z9" w:id="4"/>
    <w:p>
      <w:pPr>
        <w:spacing w:after="0"/>
        <w:ind w:left="0"/>
        <w:jc w:val="both"/>
      </w:pPr>
      <w:r>
        <w:rPr>
          <w:rFonts w:ascii="Times New Roman"/>
          <w:b w:val="false"/>
          <w:i w:val="false"/>
          <w:color w:val="000000"/>
          <w:sz w:val="28"/>
        </w:rPr>
        <w:t>
      Nz = [(Еz + L) * (k1 + k2)] + А1 + А2 + А3,</w:t>
      </w:r>
    </w:p>
    <w:bookmarkEnd w:id="4"/>
    <w:bookmarkStart w:name="z10" w:id="5"/>
    <w:p>
      <w:pPr>
        <w:spacing w:after="0"/>
        <w:ind w:left="0"/>
        <w:jc w:val="both"/>
      </w:pPr>
      <w:r>
        <w:rPr>
          <w:rFonts w:ascii="Times New Roman"/>
          <w:b w:val="false"/>
          <w:i w:val="false"/>
          <w:color w:val="000000"/>
          <w:sz w:val="28"/>
        </w:rPr>
        <w:t>
      где:</w:t>
      </w:r>
    </w:p>
    <w:bookmarkEnd w:id="5"/>
    <w:bookmarkStart w:name="z11" w:id="6"/>
    <w:p>
      <w:pPr>
        <w:spacing w:after="0"/>
        <w:ind w:left="0"/>
        <w:jc w:val="both"/>
      </w:pPr>
      <w:r>
        <w:rPr>
          <w:rFonts w:ascii="Times New Roman"/>
          <w:b w:val="false"/>
          <w:i w:val="false"/>
          <w:color w:val="000000"/>
          <w:sz w:val="28"/>
        </w:rPr>
        <w:t>
      z – индекс, отражающий обучающихся по соответствующему уровню образования (начальное, основное среднее, общее среднее), в том числе обучающихся с особыми образовательными потребностями;</w:t>
      </w:r>
    </w:p>
    <w:bookmarkEnd w:id="6"/>
    <w:bookmarkStart w:name="z12" w:id="7"/>
    <w:p>
      <w:pPr>
        <w:spacing w:after="0"/>
        <w:ind w:left="0"/>
        <w:jc w:val="both"/>
      </w:pPr>
      <w:r>
        <w:rPr>
          <w:rFonts w:ascii="Times New Roman"/>
          <w:b w:val="false"/>
          <w:i w:val="false"/>
          <w:color w:val="000000"/>
          <w:sz w:val="28"/>
        </w:rPr>
        <w:t>
      Еz – норма расходов образовательного процесса на одного обучающегося в год.</w:t>
      </w:r>
    </w:p>
    <w:bookmarkEnd w:id="7"/>
    <w:bookmarkStart w:name="z13" w:id="8"/>
    <w:p>
      <w:pPr>
        <w:spacing w:after="0"/>
        <w:ind w:left="0"/>
        <w:jc w:val="both"/>
      </w:pPr>
      <w:r>
        <w:rPr>
          <w:rFonts w:ascii="Times New Roman"/>
          <w:b w:val="false"/>
          <w:i w:val="false"/>
          <w:color w:val="000000"/>
          <w:sz w:val="28"/>
        </w:rPr>
        <w:t>
      Еz для обучающегося с особыми образовательными потребностями умножается на 2;</w:t>
      </w:r>
    </w:p>
    <w:bookmarkEnd w:id="8"/>
    <w:bookmarkStart w:name="z14" w:id="9"/>
    <w:p>
      <w:pPr>
        <w:spacing w:after="0"/>
        <w:ind w:left="0"/>
        <w:jc w:val="both"/>
      </w:pPr>
      <w:r>
        <w:rPr>
          <w:rFonts w:ascii="Times New Roman"/>
          <w:b w:val="false"/>
          <w:i w:val="false"/>
          <w:color w:val="000000"/>
          <w:sz w:val="28"/>
        </w:rPr>
        <w:t>
      L – норма расходов образовательной среды на одного обучающегося в год;</w:t>
      </w:r>
    </w:p>
    <w:bookmarkEnd w:id="9"/>
    <w:bookmarkStart w:name="z15" w:id="10"/>
    <w:p>
      <w:pPr>
        <w:spacing w:after="0"/>
        <w:ind w:left="0"/>
        <w:jc w:val="both"/>
      </w:pPr>
      <w:r>
        <w:rPr>
          <w:rFonts w:ascii="Times New Roman"/>
          <w:b w:val="false"/>
          <w:i w:val="false"/>
          <w:color w:val="000000"/>
          <w:sz w:val="28"/>
        </w:rPr>
        <w:t>
      k1 – коэффициент наполняемости школ по фактическому среднегодовому контингенту составляет:</w:t>
      </w:r>
    </w:p>
    <w:bookmarkEnd w:id="10"/>
    <w:bookmarkStart w:name="z16" w:id="11"/>
    <w:p>
      <w:pPr>
        <w:spacing w:after="0"/>
        <w:ind w:left="0"/>
        <w:jc w:val="both"/>
      </w:pPr>
      <w:r>
        <w:rPr>
          <w:rFonts w:ascii="Times New Roman"/>
          <w:b w:val="false"/>
          <w:i w:val="false"/>
          <w:color w:val="000000"/>
          <w:sz w:val="28"/>
        </w:rPr>
        <w:t>
      до 400 учащихся – 1;</w:t>
      </w:r>
    </w:p>
    <w:bookmarkEnd w:id="11"/>
    <w:bookmarkStart w:name="z17" w:id="12"/>
    <w:p>
      <w:pPr>
        <w:spacing w:after="0"/>
        <w:ind w:left="0"/>
        <w:jc w:val="both"/>
      </w:pPr>
      <w:r>
        <w:rPr>
          <w:rFonts w:ascii="Times New Roman"/>
          <w:b w:val="false"/>
          <w:i w:val="false"/>
          <w:color w:val="000000"/>
          <w:sz w:val="28"/>
        </w:rPr>
        <w:t>
      от 401 до 500 учащихся – 0,85;</w:t>
      </w:r>
    </w:p>
    <w:bookmarkEnd w:id="12"/>
    <w:bookmarkStart w:name="z18" w:id="13"/>
    <w:p>
      <w:pPr>
        <w:spacing w:after="0"/>
        <w:ind w:left="0"/>
        <w:jc w:val="both"/>
      </w:pPr>
      <w:r>
        <w:rPr>
          <w:rFonts w:ascii="Times New Roman"/>
          <w:b w:val="false"/>
          <w:i w:val="false"/>
          <w:color w:val="000000"/>
          <w:sz w:val="28"/>
        </w:rPr>
        <w:t>
      от 501 до 800 учащихся – 0,75;</w:t>
      </w:r>
    </w:p>
    <w:bookmarkEnd w:id="13"/>
    <w:bookmarkStart w:name="z19" w:id="14"/>
    <w:p>
      <w:pPr>
        <w:spacing w:after="0"/>
        <w:ind w:left="0"/>
        <w:jc w:val="both"/>
      </w:pPr>
      <w:r>
        <w:rPr>
          <w:rFonts w:ascii="Times New Roman"/>
          <w:b w:val="false"/>
          <w:i w:val="false"/>
          <w:color w:val="000000"/>
          <w:sz w:val="28"/>
        </w:rPr>
        <w:t>
      от 801 до 1000 учащихся – 0,65;</w:t>
      </w:r>
    </w:p>
    <w:bookmarkEnd w:id="14"/>
    <w:bookmarkStart w:name="z20" w:id="15"/>
    <w:p>
      <w:pPr>
        <w:spacing w:after="0"/>
        <w:ind w:left="0"/>
        <w:jc w:val="both"/>
      </w:pPr>
      <w:r>
        <w:rPr>
          <w:rFonts w:ascii="Times New Roman"/>
          <w:b w:val="false"/>
          <w:i w:val="false"/>
          <w:color w:val="000000"/>
          <w:sz w:val="28"/>
        </w:rPr>
        <w:t>
      от 1001 до 1200 учащихся – 0,6;</w:t>
      </w:r>
    </w:p>
    <w:bookmarkEnd w:id="15"/>
    <w:bookmarkStart w:name="z21" w:id="16"/>
    <w:p>
      <w:pPr>
        <w:spacing w:after="0"/>
        <w:ind w:left="0"/>
        <w:jc w:val="both"/>
      </w:pPr>
      <w:r>
        <w:rPr>
          <w:rFonts w:ascii="Times New Roman"/>
          <w:b w:val="false"/>
          <w:i w:val="false"/>
          <w:color w:val="000000"/>
          <w:sz w:val="28"/>
        </w:rPr>
        <w:t>
      от 1201 до 1400 учащихся – 0,58;</w:t>
      </w:r>
    </w:p>
    <w:bookmarkEnd w:id="16"/>
    <w:bookmarkStart w:name="z22" w:id="17"/>
    <w:p>
      <w:pPr>
        <w:spacing w:after="0"/>
        <w:ind w:left="0"/>
        <w:jc w:val="both"/>
      </w:pPr>
      <w:r>
        <w:rPr>
          <w:rFonts w:ascii="Times New Roman"/>
          <w:b w:val="false"/>
          <w:i w:val="false"/>
          <w:color w:val="000000"/>
          <w:sz w:val="28"/>
        </w:rPr>
        <w:t>
      от 1401 до 1600 учащихся – 0,56;</w:t>
      </w:r>
    </w:p>
    <w:bookmarkEnd w:id="17"/>
    <w:bookmarkStart w:name="z23" w:id="18"/>
    <w:p>
      <w:pPr>
        <w:spacing w:after="0"/>
        <w:ind w:left="0"/>
        <w:jc w:val="both"/>
      </w:pPr>
      <w:r>
        <w:rPr>
          <w:rFonts w:ascii="Times New Roman"/>
          <w:b w:val="false"/>
          <w:i w:val="false"/>
          <w:color w:val="000000"/>
          <w:sz w:val="28"/>
        </w:rPr>
        <w:t>
      от 1601 до 2000 учащихся – 0,52;</w:t>
      </w:r>
    </w:p>
    <w:bookmarkEnd w:id="18"/>
    <w:bookmarkStart w:name="z24" w:id="19"/>
    <w:p>
      <w:pPr>
        <w:spacing w:after="0"/>
        <w:ind w:left="0"/>
        <w:jc w:val="both"/>
      </w:pPr>
      <w:r>
        <w:rPr>
          <w:rFonts w:ascii="Times New Roman"/>
          <w:b w:val="false"/>
          <w:i w:val="false"/>
          <w:color w:val="000000"/>
          <w:sz w:val="28"/>
        </w:rPr>
        <w:t>
      от 2001 до 2500 учащихся – 0,49;</w:t>
      </w:r>
    </w:p>
    <w:bookmarkEnd w:id="19"/>
    <w:bookmarkStart w:name="z25" w:id="20"/>
    <w:p>
      <w:pPr>
        <w:spacing w:after="0"/>
        <w:ind w:left="0"/>
        <w:jc w:val="both"/>
      </w:pPr>
      <w:r>
        <w:rPr>
          <w:rFonts w:ascii="Times New Roman"/>
          <w:b w:val="false"/>
          <w:i w:val="false"/>
          <w:color w:val="000000"/>
          <w:sz w:val="28"/>
        </w:rPr>
        <w:t>
      от 2501 до 3000 учащихся – 0,45;</w:t>
      </w:r>
    </w:p>
    <w:bookmarkEnd w:id="20"/>
    <w:bookmarkStart w:name="z26" w:id="21"/>
    <w:p>
      <w:pPr>
        <w:spacing w:after="0"/>
        <w:ind w:left="0"/>
        <w:jc w:val="both"/>
      </w:pPr>
      <w:r>
        <w:rPr>
          <w:rFonts w:ascii="Times New Roman"/>
          <w:b w:val="false"/>
          <w:i w:val="false"/>
          <w:color w:val="000000"/>
          <w:sz w:val="28"/>
        </w:rPr>
        <w:t>
      от 3001 до 4000 учащихся – 0,40;</w:t>
      </w:r>
    </w:p>
    <w:bookmarkEnd w:id="21"/>
    <w:bookmarkStart w:name="z27" w:id="22"/>
    <w:p>
      <w:pPr>
        <w:spacing w:after="0"/>
        <w:ind w:left="0"/>
        <w:jc w:val="both"/>
      </w:pPr>
      <w:r>
        <w:rPr>
          <w:rFonts w:ascii="Times New Roman"/>
          <w:b w:val="false"/>
          <w:i w:val="false"/>
          <w:color w:val="000000"/>
          <w:sz w:val="28"/>
        </w:rPr>
        <w:t>
      от 4001 учащегося и более – 0,38;</w:t>
      </w:r>
    </w:p>
    <w:bookmarkEnd w:id="22"/>
    <w:bookmarkStart w:name="z28" w:id="23"/>
    <w:p>
      <w:pPr>
        <w:spacing w:after="0"/>
        <w:ind w:left="0"/>
        <w:jc w:val="both"/>
      </w:pPr>
      <w:r>
        <w:rPr>
          <w:rFonts w:ascii="Times New Roman"/>
          <w:b w:val="false"/>
          <w:i w:val="false"/>
          <w:color w:val="000000"/>
          <w:sz w:val="28"/>
        </w:rPr>
        <w:t>
      k2 – коэффициент наполняемости школ по фактическому среднегодовому контингенту, превышающему проектную мощность школы, составляет:</w:t>
      </w:r>
    </w:p>
    <w:bookmarkEnd w:id="23"/>
    <w:bookmarkStart w:name="z29" w:id="24"/>
    <w:p>
      <w:pPr>
        <w:spacing w:after="0"/>
        <w:ind w:left="0"/>
        <w:jc w:val="both"/>
      </w:pPr>
      <w:r>
        <w:rPr>
          <w:rFonts w:ascii="Times New Roman"/>
          <w:b w:val="false"/>
          <w:i w:val="false"/>
          <w:color w:val="000000"/>
          <w:sz w:val="28"/>
        </w:rPr>
        <w:t>
      до 150 % – 0,3;</w:t>
      </w:r>
    </w:p>
    <w:bookmarkEnd w:id="24"/>
    <w:bookmarkStart w:name="z30" w:id="25"/>
    <w:p>
      <w:pPr>
        <w:spacing w:after="0"/>
        <w:ind w:left="0"/>
        <w:jc w:val="both"/>
      </w:pPr>
      <w:r>
        <w:rPr>
          <w:rFonts w:ascii="Times New Roman"/>
          <w:b w:val="false"/>
          <w:i w:val="false"/>
          <w:color w:val="000000"/>
          <w:sz w:val="28"/>
        </w:rPr>
        <w:t>
      от 151 до 170 % – 0,29;</w:t>
      </w:r>
    </w:p>
    <w:bookmarkEnd w:id="25"/>
    <w:bookmarkStart w:name="z31" w:id="26"/>
    <w:p>
      <w:pPr>
        <w:spacing w:after="0"/>
        <w:ind w:left="0"/>
        <w:jc w:val="both"/>
      </w:pPr>
      <w:r>
        <w:rPr>
          <w:rFonts w:ascii="Times New Roman"/>
          <w:b w:val="false"/>
          <w:i w:val="false"/>
          <w:color w:val="000000"/>
          <w:sz w:val="28"/>
        </w:rPr>
        <w:t>
      от 171 до 190 % – 0,28;</w:t>
      </w:r>
    </w:p>
    <w:bookmarkEnd w:id="26"/>
    <w:bookmarkStart w:name="z32" w:id="27"/>
    <w:p>
      <w:pPr>
        <w:spacing w:after="0"/>
        <w:ind w:left="0"/>
        <w:jc w:val="both"/>
      </w:pPr>
      <w:r>
        <w:rPr>
          <w:rFonts w:ascii="Times New Roman"/>
          <w:b w:val="false"/>
          <w:i w:val="false"/>
          <w:color w:val="000000"/>
          <w:sz w:val="28"/>
        </w:rPr>
        <w:t>
      от 191 до 210 % – 0,27;</w:t>
      </w:r>
    </w:p>
    <w:bookmarkEnd w:id="27"/>
    <w:bookmarkStart w:name="z33" w:id="28"/>
    <w:p>
      <w:pPr>
        <w:spacing w:after="0"/>
        <w:ind w:left="0"/>
        <w:jc w:val="both"/>
      </w:pPr>
      <w:r>
        <w:rPr>
          <w:rFonts w:ascii="Times New Roman"/>
          <w:b w:val="false"/>
          <w:i w:val="false"/>
          <w:color w:val="000000"/>
          <w:sz w:val="28"/>
        </w:rPr>
        <w:t>
      от 211 до 230 % – 0,26;</w:t>
      </w:r>
    </w:p>
    <w:bookmarkEnd w:id="28"/>
    <w:bookmarkStart w:name="z34" w:id="29"/>
    <w:p>
      <w:pPr>
        <w:spacing w:after="0"/>
        <w:ind w:left="0"/>
        <w:jc w:val="both"/>
      </w:pPr>
      <w:r>
        <w:rPr>
          <w:rFonts w:ascii="Times New Roman"/>
          <w:b w:val="false"/>
          <w:i w:val="false"/>
          <w:color w:val="000000"/>
          <w:sz w:val="28"/>
        </w:rPr>
        <w:t>
      от 231 до 250 % – 0,25;</w:t>
      </w:r>
    </w:p>
    <w:bookmarkEnd w:id="29"/>
    <w:bookmarkStart w:name="z35" w:id="30"/>
    <w:p>
      <w:pPr>
        <w:spacing w:after="0"/>
        <w:ind w:left="0"/>
        <w:jc w:val="both"/>
      </w:pPr>
      <w:r>
        <w:rPr>
          <w:rFonts w:ascii="Times New Roman"/>
          <w:b w:val="false"/>
          <w:i w:val="false"/>
          <w:color w:val="000000"/>
          <w:sz w:val="28"/>
        </w:rPr>
        <w:t>
      от 251 до 270 % – 0,24;</w:t>
      </w:r>
    </w:p>
    <w:bookmarkEnd w:id="30"/>
    <w:bookmarkStart w:name="z36" w:id="31"/>
    <w:p>
      <w:pPr>
        <w:spacing w:after="0"/>
        <w:ind w:left="0"/>
        <w:jc w:val="both"/>
      </w:pPr>
      <w:r>
        <w:rPr>
          <w:rFonts w:ascii="Times New Roman"/>
          <w:b w:val="false"/>
          <w:i w:val="false"/>
          <w:color w:val="000000"/>
          <w:sz w:val="28"/>
        </w:rPr>
        <w:t>
      от 271 до 290 % – 0,23;</w:t>
      </w:r>
    </w:p>
    <w:bookmarkEnd w:id="31"/>
    <w:bookmarkStart w:name="z37" w:id="32"/>
    <w:p>
      <w:pPr>
        <w:spacing w:after="0"/>
        <w:ind w:left="0"/>
        <w:jc w:val="both"/>
      </w:pPr>
      <w:r>
        <w:rPr>
          <w:rFonts w:ascii="Times New Roman"/>
          <w:b w:val="false"/>
          <w:i w:val="false"/>
          <w:color w:val="000000"/>
          <w:sz w:val="28"/>
        </w:rPr>
        <w:t>
      от 291 до 310 % – 0,22;</w:t>
      </w:r>
    </w:p>
    <w:bookmarkEnd w:id="32"/>
    <w:bookmarkStart w:name="z38" w:id="33"/>
    <w:p>
      <w:pPr>
        <w:spacing w:after="0"/>
        <w:ind w:left="0"/>
        <w:jc w:val="both"/>
      </w:pPr>
      <w:r>
        <w:rPr>
          <w:rFonts w:ascii="Times New Roman"/>
          <w:b w:val="false"/>
          <w:i w:val="false"/>
          <w:color w:val="000000"/>
          <w:sz w:val="28"/>
        </w:rPr>
        <w:t>
      от 311 % и более – 0,21.</w:t>
      </w:r>
    </w:p>
    <w:bookmarkEnd w:id="33"/>
    <w:bookmarkStart w:name="z39" w:id="34"/>
    <w:p>
      <w:pPr>
        <w:spacing w:after="0"/>
        <w:ind w:left="0"/>
        <w:jc w:val="both"/>
      </w:pPr>
      <w:r>
        <w:rPr>
          <w:rFonts w:ascii="Times New Roman"/>
          <w:b w:val="false"/>
          <w:i w:val="false"/>
          <w:color w:val="000000"/>
          <w:sz w:val="28"/>
        </w:rPr>
        <w:t>
      Корректирующие коэффициенты k1 и k2 не применяются для классов, сформированных из числа обучающихся с особыми образовательными потребностями, в государственных учреждениях среднего образования, а также для частных организаций среднего образования, за исключением объектов государственных организаций среднего образования, находящихся в доверительном управлении у частных организаций среднего образования;</w:t>
      </w:r>
    </w:p>
    <w:bookmarkEnd w:id="34"/>
    <w:bookmarkStart w:name="z40" w:id="35"/>
    <w:p>
      <w:pPr>
        <w:spacing w:after="0"/>
        <w:ind w:left="0"/>
        <w:jc w:val="both"/>
      </w:pPr>
      <w:r>
        <w:rPr>
          <w:rFonts w:ascii="Times New Roman"/>
          <w:b w:val="false"/>
          <w:i w:val="false"/>
          <w:color w:val="000000"/>
          <w:sz w:val="28"/>
        </w:rPr>
        <w:t>
      А1 – норма расходов на амортизацию зданий и сооружений, амортизацию/приобретение оборудования, на одного обучающегося, которая составляет:</w:t>
      </w:r>
    </w:p>
    <w:bookmarkEnd w:id="35"/>
    <w:bookmarkStart w:name="z41" w:id="36"/>
    <w:p>
      <w:pPr>
        <w:spacing w:after="0"/>
        <w:ind w:left="0"/>
        <w:jc w:val="both"/>
      </w:pPr>
      <w:r>
        <w:rPr>
          <w:rFonts w:ascii="Times New Roman"/>
          <w:b w:val="false"/>
          <w:i w:val="false"/>
          <w:color w:val="000000"/>
          <w:sz w:val="28"/>
        </w:rPr>
        <w:t>
      6 МРП в год – для обучающихся во всех действующих школах вне зависимости от формы собственности;</w:t>
      </w:r>
    </w:p>
    <w:bookmarkEnd w:id="36"/>
    <w:bookmarkStart w:name="z42" w:id="37"/>
    <w:p>
      <w:pPr>
        <w:spacing w:after="0"/>
        <w:ind w:left="0"/>
        <w:jc w:val="both"/>
      </w:pPr>
      <w:r>
        <w:rPr>
          <w:rFonts w:ascii="Times New Roman"/>
          <w:b w:val="false"/>
          <w:i w:val="false"/>
          <w:color w:val="000000"/>
          <w:sz w:val="28"/>
        </w:rPr>
        <w:t>
      12 МРП – для обучающихся, проживающих в интернате при частной организации среднего образования, в частной школе-интернате;</w:t>
      </w:r>
    </w:p>
    <w:bookmarkEnd w:id="37"/>
    <w:bookmarkStart w:name="z43" w:id="38"/>
    <w:p>
      <w:pPr>
        <w:spacing w:after="0"/>
        <w:ind w:left="0"/>
        <w:jc w:val="both"/>
      </w:pPr>
      <w:r>
        <w:rPr>
          <w:rFonts w:ascii="Times New Roman"/>
          <w:b w:val="false"/>
          <w:i w:val="false"/>
          <w:color w:val="000000"/>
          <w:sz w:val="28"/>
        </w:rPr>
        <w:t>
      А2 - норма расходов на амортизацию зданий, за каждое фактически занятое обучающимся вновь введенное ученическое место в объектах организаций среднего образования (но не выше их проектной мощности):</w:t>
      </w:r>
    </w:p>
    <w:bookmarkEnd w:id="38"/>
    <w:bookmarkStart w:name="z44" w:id="39"/>
    <w:p>
      <w:pPr>
        <w:spacing w:after="0"/>
        <w:ind w:left="0"/>
        <w:jc w:val="both"/>
      </w:pPr>
      <w:r>
        <w:rPr>
          <w:rFonts w:ascii="Times New Roman"/>
          <w:b w:val="false"/>
          <w:i w:val="false"/>
          <w:color w:val="000000"/>
          <w:sz w:val="28"/>
        </w:rPr>
        <w:t>
      находящихся в частной собственности организаций среднего образования;</w:t>
      </w:r>
    </w:p>
    <w:bookmarkEnd w:id="39"/>
    <w:bookmarkStart w:name="z45" w:id="40"/>
    <w:p>
      <w:pPr>
        <w:spacing w:after="0"/>
        <w:ind w:left="0"/>
        <w:jc w:val="both"/>
      </w:pPr>
      <w:r>
        <w:rPr>
          <w:rFonts w:ascii="Times New Roman"/>
          <w:b w:val="false"/>
          <w:i w:val="false"/>
          <w:color w:val="000000"/>
          <w:sz w:val="28"/>
        </w:rPr>
        <w:t>
      переданных в государственную собственность на условиях договора государственно-частного партнерства.</w:t>
      </w:r>
    </w:p>
    <w:bookmarkEnd w:id="40"/>
    <w:bookmarkStart w:name="z46" w:id="41"/>
    <w:p>
      <w:pPr>
        <w:spacing w:after="0"/>
        <w:ind w:left="0"/>
        <w:jc w:val="both"/>
      </w:pPr>
      <w:r>
        <w:rPr>
          <w:rFonts w:ascii="Times New Roman"/>
          <w:b w:val="false"/>
          <w:i w:val="false"/>
          <w:color w:val="000000"/>
          <w:sz w:val="28"/>
        </w:rPr>
        <w:t>
      Вновь вводимыми ученическими местами являются места в объектах организаций среднего образования:</w:t>
      </w:r>
    </w:p>
    <w:bookmarkEnd w:id="41"/>
    <w:bookmarkStart w:name="z47" w:id="42"/>
    <w:p>
      <w:pPr>
        <w:spacing w:after="0"/>
        <w:ind w:left="0"/>
        <w:jc w:val="both"/>
      </w:pPr>
      <w:r>
        <w:rPr>
          <w:rFonts w:ascii="Times New Roman"/>
          <w:b w:val="false"/>
          <w:i w:val="false"/>
          <w:color w:val="000000"/>
          <w:sz w:val="28"/>
        </w:rPr>
        <w:t>
      находящихся в частной собственности организаций среднего образования, введенных в эксплуатацию после 20 июля 2018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42"/>
    <w:bookmarkStart w:name="z48" w:id="43"/>
    <w:p>
      <w:pPr>
        <w:spacing w:after="0"/>
        <w:ind w:left="0"/>
        <w:jc w:val="both"/>
      </w:pPr>
      <w:r>
        <w:rPr>
          <w:rFonts w:ascii="Times New Roman"/>
          <w:b w:val="false"/>
          <w:i w:val="false"/>
          <w:color w:val="000000"/>
          <w:sz w:val="28"/>
        </w:rPr>
        <w:t>
      переданных в государственную собственность на условиях договора государственно-частного партнерства.</w:t>
      </w:r>
    </w:p>
    <w:bookmarkEnd w:id="43"/>
    <w:bookmarkStart w:name="z49" w:id="44"/>
    <w:p>
      <w:pPr>
        <w:spacing w:after="0"/>
        <w:ind w:left="0"/>
        <w:jc w:val="both"/>
      </w:pPr>
      <w:r>
        <w:rPr>
          <w:rFonts w:ascii="Times New Roman"/>
          <w:b w:val="false"/>
          <w:i w:val="false"/>
          <w:color w:val="000000"/>
          <w:sz w:val="28"/>
        </w:rPr>
        <w:t>
      А2 выплачивается в течение 8 (восьми) лет организациям образования:</w:t>
      </w:r>
    </w:p>
    <w:bookmarkEnd w:id="44"/>
    <w:bookmarkStart w:name="z50" w:id="45"/>
    <w:p>
      <w:pPr>
        <w:spacing w:after="0"/>
        <w:ind w:left="0"/>
        <w:jc w:val="both"/>
      </w:pPr>
      <w:r>
        <w:rPr>
          <w:rFonts w:ascii="Times New Roman"/>
          <w:b w:val="false"/>
          <w:i w:val="false"/>
          <w:color w:val="000000"/>
          <w:sz w:val="28"/>
        </w:rPr>
        <w:t>
      претендующим на получение А2 – после наложения обременения права на изменение целевого назначения объекта частной организации среднего образования сроком на двадцать лет;</w:t>
      </w:r>
    </w:p>
    <w:bookmarkEnd w:id="45"/>
    <w:bookmarkStart w:name="z51" w:id="46"/>
    <w:p>
      <w:pPr>
        <w:spacing w:after="0"/>
        <w:ind w:left="0"/>
        <w:jc w:val="both"/>
      </w:pPr>
      <w:r>
        <w:rPr>
          <w:rFonts w:ascii="Times New Roman"/>
          <w:b w:val="false"/>
          <w:i w:val="false"/>
          <w:color w:val="000000"/>
          <w:sz w:val="28"/>
        </w:rPr>
        <w:t>
      получавшим А2 в период до 14 февраля 2020 года – после принятия обязательств по наложению в течение 2020 года обременения права на изменение целевого назначения объекта частной организации среднего образования сроком на двадцать лет. При этом срок выплат А2 уменьшается соразмерно сроку его выплат, произведенных до принятия указанных обязательств;</w:t>
      </w:r>
    </w:p>
    <w:bookmarkEnd w:id="46"/>
    <w:bookmarkStart w:name="z52" w:id="47"/>
    <w:p>
      <w:pPr>
        <w:spacing w:after="0"/>
        <w:ind w:left="0"/>
        <w:jc w:val="both"/>
      </w:pPr>
      <w:r>
        <w:rPr>
          <w:rFonts w:ascii="Times New Roman"/>
          <w:b w:val="false"/>
          <w:i w:val="false"/>
          <w:color w:val="000000"/>
          <w:sz w:val="28"/>
        </w:rPr>
        <w:t>
      получившим объекты организаций среднего образования на условиях договора государственно-частного партнерства. При этом, учредитель такой организации образования обеспечивает направление суммы выплат А2 на осуществление финансирования проекта государственно-частного партнерства, в рамках которого объект организации среднего образования передан в государственную собственность на условиях договора государственно-частного партнерства. Сумма подушевого норматива финансирования на одного обучающегося в год (Nz) за минусом суммы выплат А2 направляется на финансирование расходов образовательного процесса и образовательной среды.</w:t>
      </w:r>
    </w:p>
    <w:bookmarkEnd w:id="47"/>
    <w:bookmarkStart w:name="z53" w:id="48"/>
    <w:p>
      <w:pPr>
        <w:spacing w:after="0"/>
        <w:ind w:left="0"/>
        <w:jc w:val="both"/>
      </w:pPr>
      <w:r>
        <w:rPr>
          <w:rFonts w:ascii="Times New Roman"/>
          <w:b w:val="false"/>
          <w:i w:val="false"/>
          <w:color w:val="000000"/>
          <w:sz w:val="28"/>
        </w:rPr>
        <w:t>
      В случае изменения собственника объекта организации среднего образования срок выплат А2 уменьшается соразмерно сроку его выплат у предыдущего собственника объекта организации среднего образования.</w:t>
      </w:r>
    </w:p>
    <w:bookmarkEnd w:id="48"/>
    <w:bookmarkStart w:name="z54" w:id="49"/>
    <w:p>
      <w:pPr>
        <w:spacing w:after="0"/>
        <w:ind w:left="0"/>
        <w:jc w:val="both"/>
      </w:pPr>
      <w:r>
        <w:rPr>
          <w:rFonts w:ascii="Times New Roman"/>
          <w:b w:val="false"/>
          <w:i w:val="false"/>
          <w:color w:val="000000"/>
          <w:sz w:val="28"/>
        </w:rPr>
        <w:t>
      А2 составляет:</w:t>
      </w:r>
    </w:p>
    <w:bookmarkEnd w:id="49"/>
    <w:bookmarkStart w:name="z55" w:id="50"/>
    <w:p>
      <w:pPr>
        <w:spacing w:after="0"/>
        <w:ind w:left="0"/>
        <w:jc w:val="both"/>
      </w:pPr>
      <w:r>
        <w:rPr>
          <w:rFonts w:ascii="Times New Roman"/>
          <w:b w:val="false"/>
          <w:i w:val="false"/>
          <w:color w:val="000000"/>
          <w:sz w:val="28"/>
        </w:rPr>
        <w:t>
      при строительстве - 96 МРП в год;</w:t>
      </w:r>
    </w:p>
    <w:bookmarkEnd w:id="50"/>
    <w:bookmarkStart w:name="z56" w:id="51"/>
    <w:p>
      <w:pPr>
        <w:spacing w:after="0"/>
        <w:ind w:left="0"/>
        <w:jc w:val="both"/>
      </w:pPr>
      <w:r>
        <w:rPr>
          <w:rFonts w:ascii="Times New Roman"/>
          <w:b w:val="false"/>
          <w:i w:val="false"/>
          <w:color w:val="000000"/>
          <w:sz w:val="28"/>
        </w:rPr>
        <w:t>
      при реконструкции - 47 МРП в год.</w:t>
      </w:r>
    </w:p>
    <w:bookmarkEnd w:id="51"/>
    <w:bookmarkStart w:name="z57" w:id="52"/>
    <w:p>
      <w:pPr>
        <w:spacing w:after="0"/>
        <w:ind w:left="0"/>
        <w:jc w:val="both"/>
      </w:pPr>
      <w:r>
        <w:rPr>
          <w:rFonts w:ascii="Times New Roman"/>
          <w:b w:val="false"/>
          <w:i w:val="false"/>
          <w:color w:val="000000"/>
          <w:sz w:val="28"/>
        </w:rPr>
        <w:t>
      Во всех остальных случаях, в том числе по истечении вышеуказанных сроков выплат А2 за вновь введенные ученические места, А2 равняется 0;</w:t>
      </w:r>
    </w:p>
    <w:bookmarkEnd w:id="52"/>
    <w:bookmarkStart w:name="z58" w:id="53"/>
    <w:p>
      <w:pPr>
        <w:spacing w:after="0"/>
        <w:ind w:left="0"/>
        <w:jc w:val="both"/>
      </w:pPr>
      <w:r>
        <w:rPr>
          <w:rFonts w:ascii="Times New Roman"/>
          <w:b w:val="false"/>
          <w:i w:val="false"/>
          <w:color w:val="000000"/>
          <w:sz w:val="28"/>
        </w:rPr>
        <w:t>
      А3 – норма расходов на амортизацию зданий, за каждое фактически занятое обучающимся вновь введенное место проживания в объектах организаций среднего образования, находящихся в частной собственности организаций среднего образования, но не выше их проектной мощности.</w:t>
      </w:r>
    </w:p>
    <w:bookmarkEnd w:id="53"/>
    <w:bookmarkStart w:name="z59" w:id="54"/>
    <w:p>
      <w:pPr>
        <w:spacing w:after="0"/>
        <w:ind w:left="0"/>
        <w:jc w:val="both"/>
      </w:pPr>
      <w:r>
        <w:rPr>
          <w:rFonts w:ascii="Times New Roman"/>
          <w:b w:val="false"/>
          <w:i w:val="false"/>
          <w:color w:val="000000"/>
          <w:sz w:val="28"/>
        </w:rPr>
        <w:t>
      Вновь введенными местами проживания обучающихся являются места в интернатах организаций среднего образования, находящихся в частной собственности организаций среднего образования, введенных в эксплуатацию после 1 января 2020 года путем строительства или реконструкции, а равно в частной собственности учредителей данных организаций среднего образования или их близких родственников.</w:t>
      </w:r>
    </w:p>
    <w:bookmarkEnd w:id="54"/>
    <w:bookmarkStart w:name="z60" w:id="55"/>
    <w:p>
      <w:pPr>
        <w:spacing w:after="0"/>
        <w:ind w:left="0"/>
        <w:jc w:val="both"/>
      </w:pPr>
      <w:r>
        <w:rPr>
          <w:rFonts w:ascii="Times New Roman"/>
          <w:b w:val="false"/>
          <w:i w:val="false"/>
          <w:color w:val="000000"/>
          <w:sz w:val="28"/>
        </w:rPr>
        <w:t>
      А3 выплачивается в течение 8 (восьми) лет после наложения обременения права на изменение целевого назначения интерната организации среднего образования сроком на двадцать лет. При этом, в случае изменения собственника объекта частной организации среднего образования, срок выплат А3 уменьшается соразмерно сроку его выплат у предыдущего собственника интерната частной организации среднего образования.</w:t>
      </w:r>
    </w:p>
    <w:bookmarkEnd w:id="55"/>
    <w:bookmarkStart w:name="z61" w:id="56"/>
    <w:p>
      <w:pPr>
        <w:spacing w:after="0"/>
        <w:ind w:left="0"/>
        <w:jc w:val="both"/>
      </w:pPr>
      <w:r>
        <w:rPr>
          <w:rFonts w:ascii="Times New Roman"/>
          <w:b w:val="false"/>
          <w:i w:val="false"/>
          <w:color w:val="000000"/>
          <w:sz w:val="28"/>
        </w:rPr>
        <w:t>
      А3 составляет:</w:t>
      </w:r>
    </w:p>
    <w:bookmarkEnd w:id="56"/>
    <w:bookmarkStart w:name="z62" w:id="57"/>
    <w:p>
      <w:pPr>
        <w:spacing w:after="0"/>
        <w:ind w:left="0"/>
        <w:jc w:val="both"/>
      </w:pPr>
      <w:r>
        <w:rPr>
          <w:rFonts w:ascii="Times New Roman"/>
          <w:b w:val="false"/>
          <w:i w:val="false"/>
          <w:color w:val="000000"/>
          <w:sz w:val="28"/>
        </w:rPr>
        <w:t>
      при строительстве – 122 МРП в год;</w:t>
      </w:r>
    </w:p>
    <w:bookmarkEnd w:id="57"/>
    <w:bookmarkStart w:name="z63" w:id="58"/>
    <w:p>
      <w:pPr>
        <w:spacing w:after="0"/>
        <w:ind w:left="0"/>
        <w:jc w:val="both"/>
      </w:pPr>
      <w:r>
        <w:rPr>
          <w:rFonts w:ascii="Times New Roman"/>
          <w:b w:val="false"/>
          <w:i w:val="false"/>
          <w:color w:val="000000"/>
          <w:sz w:val="28"/>
        </w:rPr>
        <w:t>
      при реконструкции – 47 МРП в год.</w:t>
      </w:r>
    </w:p>
    <w:bookmarkEnd w:id="58"/>
    <w:bookmarkStart w:name="z64" w:id="59"/>
    <w:p>
      <w:pPr>
        <w:spacing w:after="0"/>
        <w:ind w:left="0"/>
        <w:jc w:val="both"/>
      </w:pPr>
      <w:r>
        <w:rPr>
          <w:rFonts w:ascii="Times New Roman"/>
          <w:b w:val="false"/>
          <w:i w:val="false"/>
          <w:color w:val="000000"/>
          <w:sz w:val="28"/>
        </w:rPr>
        <w:t>
      Во всех остальных случаях, в том числе по истечении 8 (восьми) лет выплат А3 за вновь введенные места проживания обучающихся, А3 равняется 0;".</w:t>
      </w:r>
    </w:p>
    <w:bookmarkEnd w:id="59"/>
    <w:bookmarkStart w:name="z65" w:id="60"/>
    <w:p>
      <w:pPr>
        <w:spacing w:after="0"/>
        <w:ind w:left="0"/>
        <w:jc w:val="both"/>
      </w:pPr>
      <w:r>
        <w:rPr>
          <w:rFonts w:ascii="Times New Roman"/>
          <w:b w:val="false"/>
          <w:i w:val="false"/>
          <w:color w:val="000000"/>
          <w:sz w:val="28"/>
        </w:rPr>
        <w:t>
      2.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w:t>
      </w:r>
    </w:p>
    <w:bookmarkEnd w:id="60"/>
    <w:bookmarkStart w:name="z66" w:id="6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1"/>
    <w:bookmarkStart w:name="z67" w:id="62"/>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2"/>
    <w:bookmarkStart w:name="z68"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3"/>
    <w:bookmarkStart w:name="z69" w:id="6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4"/>
    <w:bookmarkStart w:name="z70"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