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59b8" w14:textId="69a59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29 апреля 2022 года № 159. Зарегистрирован в Министерстве юстиции Республики Казахстан 29 апреля 2022 года № 27841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апреля 2022 года № 159</w:t>
            </w:r>
          </w:p>
        </w:tc>
      </w:tr>
    </w:tbl>
    <w:bookmarkStart w:name="z15" w:id="9"/>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дополнение</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27 февраля 2015 года № 152 "Об утверждении Правил организации и функционирования рынка электрической мощности" (зарегистрирован в Реестре государственной регистрации нормативных правовых актов за № 10612):</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рынка электрической мощности, утвержденных указанным приказом:</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новой редакции:</w:t>
      </w:r>
    </w:p>
    <w:bookmarkStart w:name="z20" w:id="13"/>
    <w:p>
      <w:pPr>
        <w:spacing w:after="0"/>
        <w:ind w:left="0"/>
        <w:jc w:val="both"/>
      </w:pPr>
      <w:r>
        <w:rPr>
          <w:rFonts w:ascii="Times New Roman"/>
          <w:b w:val="false"/>
          <w:i w:val="false"/>
          <w:color w:val="000000"/>
          <w:sz w:val="28"/>
        </w:rPr>
        <w:t>
      "2) метод смежного усреднения – метод определения (расчета) максимального за расчетный период (календарный месяц) значения электрической мощности потребления промышленного комплекса, в соответствии с которым максимальное за расчетный период (календарный месяц) значение электрической мощности потребления промышленного комплекса определяется как соответствующее среднее за все контрольные периоды данного расчетного периода (календарного месяца) значение нетто-мощности промышленного комплекса за вычетом импортируемой электрической мощности;";</w:t>
      </w:r>
    </w:p>
    <w:bookmarkEnd w:id="13"/>
    <w:bookmarkStart w:name="z21" w:id="14"/>
    <w:p>
      <w:pPr>
        <w:spacing w:after="0"/>
        <w:ind w:left="0"/>
        <w:jc w:val="both"/>
      </w:pPr>
      <w:r>
        <w:rPr>
          <w:rFonts w:ascii="Times New Roman"/>
          <w:b w:val="false"/>
          <w:i w:val="false"/>
          <w:color w:val="000000"/>
          <w:sz w:val="28"/>
        </w:rPr>
        <w:t>
      дополнить подпунктом 14-1) следующего содержания:</w:t>
      </w:r>
    </w:p>
    <w:bookmarkEnd w:id="14"/>
    <w:bookmarkStart w:name="z22" w:id="15"/>
    <w:p>
      <w:pPr>
        <w:spacing w:after="0"/>
        <w:ind w:left="0"/>
        <w:jc w:val="both"/>
      </w:pPr>
      <w:r>
        <w:rPr>
          <w:rFonts w:ascii="Times New Roman"/>
          <w:b w:val="false"/>
          <w:i w:val="false"/>
          <w:color w:val="000000"/>
          <w:sz w:val="28"/>
        </w:rPr>
        <w:t>
      "14-1) импортируемая электрическая мощность – среднемесячная мощность электрической энергии, поставляемой из-за пределов территории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изложить в новой редакции:</w:t>
      </w:r>
    </w:p>
    <w:bookmarkStart w:name="z24" w:id="16"/>
    <w:p>
      <w:pPr>
        <w:spacing w:after="0"/>
        <w:ind w:left="0"/>
        <w:jc w:val="both"/>
      </w:pPr>
      <w:r>
        <w:rPr>
          <w:rFonts w:ascii="Times New Roman"/>
          <w:b w:val="false"/>
          <w:i w:val="false"/>
          <w:color w:val="000000"/>
          <w:sz w:val="28"/>
        </w:rPr>
        <w:t>
      "26) метод полного усреднения – метод определения (расчета) максимального за расчетный период (календарный месяц) значения электрической мощности потребления энергопередающей организации, в соответствии с которым максимальное за расчетный период (календарный месяц) значение электрической мощности потребления энергопередающей организации определяется как среднее за данный расчетный период (календарный месяц) значение электрической мощности потребления энергопередающей организации для покрытия потерь электрической энергии в собственных сетях и на хозяйственные нужды за вычетом импортируемой электрической мощности;";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31)</w:t>
      </w:r>
      <w:r>
        <w:rPr>
          <w:rFonts w:ascii="Times New Roman"/>
          <w:b w:val="false"/>
          <w:i w:val="false"/>
          <w:color w:val="000000"/>
          <w:sz w:val="28"/>
        </w:rPr>
        <w:t xml:space="preserve"> изложить в новой редакции:</w:t>
      </w:r>
    </w:p>
    <w:bookmarkStart w:name="z26" w:id="17"/>
    <w:p>
      <w:pPr>
        <w:spacing w:after="0"/>
        <w:ind w:left="0"/>
        <w:jc w:val="both"/>
      </w:pPr>
      <w:r>
        <w:rPr>
          <w:rFonts w:ascii="Times New Roman"/>
          <w:b w:val="false"/>
          <w:i w:val="false"/>
          <w:color w:val="000000"/>
          <w:sz w:val="28"/>
        </w:rPr>
        <w:t>
      "31) метод частичного усреднения – метод определения (расчета) максимального за расчетный период (календарный месяц) значения электрической мощности потребления потребителя рынка мощности, в соответствии с которым максимальное за расчетный период (календарный месяц) значение электрической мощности потребления потребителя рынка мощности определяется как соответствующее среднее за все контрольные периоды данного расчетного периода (календарного месяца) значение электрической мощности потребления потребителя рынка мощности за вычетом импортируемой электрической мощности;";</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новой редакции:</w:t>
      </w:r>
    </w:p>
    <w:bookmarkStart w:name="z28" w:id="18"/>
    <w:p>
      <w:pPr>
        <w:spacing w:after="0"/>
        <w:ind w:left="0"/>
        <w:jc w:val="both"/>
      </w:pPr>
      <w:r>
        <w:rPr>
          <w:rFonts w:ascii="Times New Roman"/>
          <w:b w:val="false"/>
          <w:i w:val="false"/>
          <w:color w:val="000000"/>
          <w:sz w:val="28"/>
        </w:rPr>
        <w:t xml:space="preserve">
      "48.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без учета импортируемой электрической мощности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(далее – максимальные месячные мощности потребления), и направляют их системному оператору не позднее первого августа года, предшествующего расчетному году в соответствии с абзацем первым </w:t>
      </w:r>
      <w:r>
        <w:rPr>
          <w:rFonts w:ascii="Times New Roman"/>
          <w:b w:val="false"/>
          <w:i w:val="false"/>
          <w:color w:val="000000"/>
          <w:sz w:val="28"/>
        </w:rPr>
        <w:t>пункта 2</w:t>
      </w:r>
      <w:r>
        <w:rPr>
          <w:rFonts w:ascii="Times New Roman"/>
          <w:b w:val="false"/>
          <w:i w:val="false"/>
          <w:color w:val="000000"/>
          <w:sz w:val="28"/>
        </w:rPr>
        <w:t xml:space="preserve"> статьи 15-3 Закона. При этом, энергоснабжающие организации указывают в своих прогнозных заявках на потребление только ту часть максимальных месячных мощностей потребления, которая приходится на потребителей, являющихся субъектами розничного рынка электрической энергии, которым данные энергоснабжающие организации планируют оказывать услуги электроснабжения.</w:t>
      </w:r>
    </w:p>
    <w:bookmarkEnd w:id="18"/>
    <w:bookmarkStart w:name="z29" w:id="19"/>
    <w:p>
      <w:pPr>
        <w:spacing w:after="0"/>
        <w:ind w:left="0"/>
        <w:jc w:val="both"/>
      </w:pPr>
      <w:r>
        <w:rPr>
          <w:rFonts w:ascii="Times New Roman"/>
          <w:b w:val="false"/>
          <w:i w:val="false"/>
          <w:color w:val="000000"/>
          <w:sz w:val="28"/>
        </w:rPr>
        <w:t>
      Потребители, являющиеся субъектами оптового рынка и входящие в группу лиц, включенную в реестр групп лиц, формируют прогнозные заявки на потребление, в которых указывают максимальные значения электрической мощности потребления без учета импортируемой электрической мощности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групп лиц соответствующей группы лиц (далее – максимальные месячные мощности потребления для потребителей групп лиц), и направляют их системному оператору не позднее первого августа года, предшествующего расчетному году.</w:t>
      </w:r>
    </w:p>
    <w:bookmarkEnd w:id="19"/>
    <w:bookmarkStart w:name="z30" w:id="20"/>
    <w:p>
      <w:pPr>
        <w:spacing w:after="0"/>
        <w:ind w:left="0"/>
        <w:jc w:val="both"/>
      </w:pPr>
      <w:r>
        <w:rPr>
          <w:rFonts w:ascii="Times New Roman"/>
          <w:b w:val="false"/>
          <w:i w:val="false"/>
          <w:color w:val="000000"/>
          <w:sz w:val="28"/>
        </w:rPr>
        <w:t xml:space="preserve">
      Прогнозные заявки на потребление, указанные в настоящем пункте, оформляются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20"/>
    <w:bookmarkStart w:name="z31" w:id="2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3 декабря 2015 года № 691 "Об утверждении Правил оказания услуг системным оператором, организации и функционирования рынка системных и вспомогательных услуг" (зарегистрирован в Реестре государственной регистрации нормативных правовых актов за № 12562):</w:t>
      </w:r>
    </w:p>
    <w:bookmarkEnd w:id="21"/>
    <w:bookmarkStart w:name="z32"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системным оператором, организации и функционирования рынка системных и вспомогательных услуг:</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34" w:id="23"/>
    <w:p>
      <w:pPr>
        <w:spacing w:after="0"/>
        <w:ind w:left="0"/>
        <w:jc w:val="both"/>
      </w:pPr>
      <w:r>
        <w:rPr>
          <w:rFonts w:ascii="Times New Roman"/>
          <w:b w:val="false"/>
          <w:i w:val="false"/>
          <w:color w:val="000000"/>
          <w:sz w:val="28"/>
        </w:rPr>
        <w:t>
      "1) веб-сайт – система электронных документов (файлов данных и кода) частного лица или организации в компьютерной сети под общим адресом (доменным именем или IP-адресом);</w:t>
      </w:r>
    </w:p>
    <w:bookmarkEnd w:id="23"/>
    <w:bookmarkStart w:name="z35" w:id="24"/>
    <w:p>
      <w:pPr>
        <w:spacing w:after="0"/>
        <w:ind w:left="0"/>
        <w:jc w:val="both"/>
      </w:pPr>
      <w:r>
        <w:rPr>
          <w:rFonts w:ascii="Times New Roman"/>
          <w:b w:val="false"/>
          <w:i w:val="false"/>
          <w:color w:val="000000"/>
          <w:sz w:val="28"/>
        </w:rPr>
        <w:t>
      2) веб-интерфейс – это совокупность средств, при помощи которых пользователь взаимодействует с веб-сайтом или любым другим приложением через браузер;</w:t>
      </w:r>
    </w:p>
    <w:bookmarkEnd w:id="24"/>
    <w:bookmarkStart w:name="z36" w:id="25"/>
    <w:p>
      <w:pPr>
        <w:spacing w:after="0"/>
        <w:ind w:left="0"/>
        <w:jc w:val="both"/>
      </w:pPr>
      <w:r>
        <w:rPr>
          <w:rFonts w:ascii="Times New Roman"/>
          <w:b w:val="false"/>
          <w:i w:val="false"/>
          <w:color w:val="000000"/>
          <w:sz w:val="28"/>
        </w:rPr>
        <w:t>
      3) диспетчер – работник, уполномоченный от имени диспетчерского центра отдавать команды и распоряжения диспетчеру нижестоящего диспетчерского центра или оперативному персоналу субъектов электроэнергетики по управлению электроэнергетическим режимом и эксплуатационным состоянием электрического оборудования, устройств и электрических сетей в операционной зоне соответствующего диспетчерского центра;</w:t>
      </w:r>
    </w:p>
    <w:bookmarkEnd w:id="25"/>
    <w:bookmarkStart w:name="z37" w:id="26"/>
    <w:p>
      <w:pPr>
        <w:spacing w:after="0"/>
        <w:ind w:left="0"/>
        <w:jc w:val="both"/>
      </w:pPr>
      <w:r>
        <w:rPr>
          <w:rFonts w:ascii="Times New Roman"/>
          <w:b w:val="false"/>
          <w:i w:val="false"/>
          <w:color w:val="000000"/>
          <w:sz w:val="28"/>
        </w:rPr>
        <w:t>
      4) диспетчерская команда – указание совершить (воздержаться от совершения) конкретное действие (действия) по управлению технологическими режимами работы и эксплуатационным состоянием электрического оборудования, устройств и электрических сетей, выдаваемое диспетчером вышестоящего диспетчерского центра по каналам связи диспетчеру нижестоящего диспетчерского центра или оперативному персоналу субъектов электроэнергетики;</w:t>
      </w:r>
    </w:p>
    <w:bookmarkEnd w:id="26"/>
    <w:bookmarkStart w:name="z38" w:id="27"/>
    <w:p>
      <w:pPr>
        <w:spacing w:after="0"/>
        <w:ind w:left="0"/>
        <w:jc w:val="both"/>
      </w:pPr>
      <w:r>
        <w:rPr>
          <w:rFonts w:ascii="Times New Roman"/>
          <w:b w:val="false"/>
          <w:i w:val="false"/>
          <w:color w:val="000000"/>
          <w:sz w:val="28"/>
        </w:rPr>
        <w:t>
      5) оперативное управление – организация управления эксплуатационным состоянием электрического оборудования, устройств и электрических сетей, при котором эксплуатационное состояние указанного оборудования, устройств и электрических сетей изменяется только по команде диспетчера соответствующего диспетчерского центра;</w:t>
      </w:r>
    </w:p>
    <w:bookmarkEnd w:id="27"/>
    <w:bookmarkStart w:name="z39" w:id="28"/>
    <w:p>
      <w:pPr>
        <w:spacing w:after="0"/>
        <w:ind w:left="0"/>
        <w:jc w:val="both"/>
      </w:pPr>
      <w:r>
        <w:rPr>
          <w:rFonts w:ascii="Times New Roman"/>
          <w:b w:val="false"/>
          <w:i w:val="false"/>
          <w:color w:val="000000"/>
          <w:sz w:val="28"/>
        </w:rPr>
        <w:t>
      6) оперативное ведение – организация управления эксплуатационным состоянием электрического оборудования, устройств и электрических сетей, при котором выполнение операций с указанным оборудованием, устройствами и электрическими сетями производится с разрешения диспетчера вышестоящего уровня оперативно-диспетчерского управления, в ведении которого находятся указанное оборудование и устройства;</w:t>
      </w:r>
    </w:p>
    <w:bookmarkEnd w:id="28"/>
    <w:bookmarkStart w:name="z40" w:id="29"/>
    <w:p>
      <w:pPr>
        <w:spacing w:after="0"/>
        <w:ind w:left="0"/>
        <w:jc w:val="both"/>
      </w:pPr>
      <w:r>
        <w:rPr>
          <w:rFonts w:ascii="Times New Roman"/>
          <w:b w:val="false"/>
          <w:i w:val="false"/>
          <w:color w:val="000000"/>
          <w:sz w:val="28"/>
        </w:rPr>
        <w:t>
      7) система планирования – совокупность программно-технических средств, предназначенная для передачи субъектами оптового рынка электрической энергии заявок по производству-потреблению электрической энергии за день вперед, формированию суточного графика производства-потребления электрической энергии, а также передаче заявок день в день (корректировка утвержденного суточного графика);</w:t>
      </w:r>
    </w:p>
    <w:bookmarkEnd w:id="29"/>
    <w:bookmarkStart w:name="z41" w:id="30"/>
    <w:p>
      <w:pPr>
        <w:spacing w:after="0"/>
        <w:ind w:left="0"/>
        <w:jc w:val="both"/>
      </w:pPr>
      <w:r>
        <w:rPr>
          <w:rFonts w:ascii="Times New Roman"/>
          <w:b w:val="false"/>
          <w:i w:val="false"/>
          <w:color w:val="000000"/>
          <w:sz w:val="28"/>
        </w:rPr>
        <w:t>
      8) системные ограничения – предельно допустимые значения технологических параметров функционирования ЕЭС Казахстана;</w:t>
      </w:r>
    </w:p>
    <w:bookmarkEnd w:id="30"/>
    <w:bookmarkStart w:name="z42" w:id="31"/>
    <w:p>
      <w:pPr>
        <w:spacing w:after="0"/>
        <w:ind w:left="0"/>
        <w:jc w:val="both"/>
      </w:pPr>
      <w:r>
        <w:rPr>
          <w:rFonts w:ascii="Times New Roman"/>
          <w:b w:val="false"/>
          <w:i w:val="false"/>
          <w:color w:val="000000"/>
          <w:sz w:val="28"/>
        </w:rPr>
        <w:t>
      9) нормальный режим работы единой электроэнергетической системы Республики Казахстан (ЕЭС Казахстан) – установившийся режим работы, при котором работают все элементы электроэнергетической системы, предусмотренные при планировании режима, и обеспечивается электроснабжение всех потребителей электрической энергии в соответствии с условиями заключенных договоров;</w:t>
      </w:r>
    </w:p>
    <w:bookmarkEnd w:id="31"/>
    <w:bookmarkStart w:name="z43" w:id="32"/>
    <w:p>
      <w:pPr>
        <w:spacing w:after="0"/>
        <w:ind w:left="0"/>
        <w:jc w:val="both"/>
      </w:pPr>
      <w:r>
        <w:rPr>
          <w:rFonts w:ascii="Times New Roman"/>
          <w:b w:val="false"/>
          <w:i w:val="false"/>
          <w:color w:val="000000"/>
          <w:sz w:val="28"/>
        </w:rPr>
        <w:t>
      10) послеаварийный режим работы ЕЭС Казахстана – установившийся режим, возникающий после аварийного отключения поврежденного элемента электроэнергетической системы и продолжающийся до восстановления нормального режима работы;</w:t>
      </w:r>
    </w:p>
    <w:bookmarkEnd w:id="32"/>
    <w:bookmarkStart w:name="z44" w:id="33"/>
    <w:p>
      <w:pPr>
        <w:spacing w:after="0"/>
        <w:ind w:left="0"/>
        <w:jc w:val="both"/>
      </w:pPr>
      <w:r>
        <w:rPr>
          <w:rFonts w:ascii="Times New Roman"/>
          <w:b w:val="false"/>
          <w:i w:val="false"/>
          <w:color w:val="000000"/>
          <w:sz w:val="28"/>
        </w:rPr>
        <w:t>
      11) резерв электрической мощности ЕЭС Республики Казахстана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w:t>
      </w:r>
    </w:p>
    <w:bookmarkEnd w:id="33"/>
    <w:bookmarkStart w:name="z45" w:id="34"/>
    <w:p>
      <w:pPr>
        <w:spacing w:after="0"/>
        <w:ind w:left="0"/>
        <w:jc w:val="both"/>
      </w:pPr>
      <w:r>
        <w:rPr>
          <w:rFonts w:ascii="Times New Roman"/>
          <w:b w:val="false"/>
          <w:i w:val="false"/>
          <w:color w:val="000000"/>
          <w:sz w:val="28"/>
        </w:rPr>
        <w:t>
      12) фактический баланс производства-потребления электрической энергии на оптовом рынке электрической энергии Республики Казахстан (далее – фактический баланс) – составленный системным оператором документ, устанавливающий адресное распределение объемов произведенной, поставленной и потребленной электрической энергии на рынках децентрализованной и централизованной торговли, балансирующем рынке электрической энергии за расчетный период. Фактический баланс является основанием для проведения взаиморасчетов между субъектами оптового рынка электрической энергии Республики Казахстан;</w:t>
      </w:r>
    </w:p>
    <w:bookmarkEnd w:id="34"/>
    <w:bookmarkStart w:name="z46" w:id="35"/>
    <w:p>
      <w:pPr>
        <w:spacing w:after="0"/>
        <w:ind w:left="0"/>
        <w:jc w:val="both"/>
      </w:pPr>
      <w:r>
        <w:rPr>
          <w:rFonts w:ascii="Times New Roman"/>
          <w:b w:val="false"/>
          <w:i w:val="false"/>
          <w:color w:val="000000"/>
          <w:sz w:val="28"/>
        </w:rPr>
        <w:t>
      13)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5"/>
    <w:bookmarkStart w:name="z47" w:id="36"/>
    <w:p>
      <w:pPr>
        <w:spacing w:after="0"/>
        <w:ind w:left="0"/>
        <w:jc w:val="both"/>
      </w:pPr>
      <w:r>
        <w:rPr>
          <w:rFonts w:ascii="Times New Roman"/>
          <w:b w:val="false"/>
          <w:i w:val="false"/>
          <w:color w:val="000000"/>
          <w:sz w:val="28"/>
        </w:rPr>
        <w:t>
      14) цифровой майнинг – процесс проведения вычислительных операций с использованием компьютерных, энергетических мощностей согласно заданным алгоритмам шифрования и обработки данных, обеспечивающий подтверждение целостности блоков данных в объектах информатизации посредством блокчейна;</w:t>
      </w:r>
    </w:p>
    <w:bookmarkEnd w:id="36"/>
    <w:bookmarkStart w:name="z48" w:id="37"/>
    <w:p>
      <w:pPr>
        <w:spacing w:after="0"/>
        <w:ind w:left="0"/>
        <w:jc w:val="both"/>
      </w:pPr>
      <w:r>
        <w:rPr>
          <w:rFonts w:ascii="Times New Roman"/>
          <w:b w:val="false"/>
          <w:i w:val="false"/>
          <w:color w:val="000000"/>
          <w:sz w:val="28"/>
        </w:rPr>
        <w:t>
      15) договор купли-продажи электрической энергии – соглашение, заключаемое между субъектами оптового рынка электрической энергии на покупку(продажу) электрической энергии с их физической поставкой в определенный период;</w:t>
      </w:r>
    </w:p>
    <w:bookmarkEnd w:id="37"/>
    <w:bookmarkStart w:name="z49" w:id="38"/>
    <w:p>
      <w:pPr>
        <w:spacing w:after="0"/>
        <w:ind w:left="0"/>
        <w:jc w:val="both"/>
      </w:pPr>
      <w:r>
        <w:rPr>
          <w:rFonts w:ascii="Times New Roman"/>
          <w:b w:val="false"/>
          <w:i w:val="false"/>
          <w:color w:val="000000"/>
          <w:sz w:val="28"/>
        </w:rPr>
        <w:t>
      16) ограничение электроснабжения – прекращение подачи электрической энергии потребителю полностью или частично;</w:t>
      </w:r>
    </w:p>
    <w:bookmarkEnd w:id="38"/>
    <w:bookmarkStart w:name="z50" w:id="39"/>
    <w:p>
      <w:pPr>
        <w:spacing w:after="0"/>
        <w:ind w:left="0"/>
        <w:jc w:val="both"/>
      </w:pPr>
      <w:r>
        <w:rPr>
          <w:rFonts w:ascii="Times New Roman"/>
          <w:b w:val="false"/>
          <w:i w:val="false"/>
          <w:color w:val="000000"/>
          <w:sz w:val="28"/>
        </w:rPr>
        <w:t>
      17)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 (далее – суточный график).</w:t>
      </w:r>
    </w:p>
    <w:bookmarkEnd w:id="39"/>
    <w:bookmarkStart w:name="z51" w:id="40"/>
    <w:p>
      <w:pPr>
        <w:spacing w:after="0"/>
        <w:ind w:left="0"/>
        <w:jc w:val="both"/>
      </w:pPr>
      <w:r>
        <w:rPr>
          <w:rFonts w:ascii="Times New Roman"/>
          <w:b w:val="false"/>
          <w:i w:val="false"/>
          <w:color w:val="000000"/>
          <w:sz w:val="28"/>
        </w:rPr>
        <w:t>
      Иные понятия и термины, используемые в Правилах, применяются в соответствии с законодательством Республики Казахстан в области электроэнергетики.";</w:t>
      </w:r>
    </w:p>
    <w:bookmarkEnd w:id="40"/>
    <w:bookmarkStart w:name="z52" w:id="41"/>
    <w:p>
      <w:pPr>
        <w:spacing w:after="0"/>
        <w:ind w:left="0"/>
        <w:jc w:val="both"/>
      </w:pPr>
      <w:r>
        <w:rPr>
          <w:rFonts w:ascii="Times New Roman"/>
          <w:b w:val="false"/>
          <w:i w:val="false"/>
          <w:color w:val="000000"/>
          <w:sz w:val="28"/>
        </w:rPr>
        <w:t xml:space="preserve">
      подпункт 11)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41"/>
    <w:bookmarkStart w:name="z53" w:id="42"/>
    <w:p>
      <w:pPr>
        <w:spacing w:after="0"/>
        <w:ind w:left="0"/>
        <w:jc w:val="both"/>
      </w:pPr>
      <w:r>
        <w:rPr>
          <w:rFonts w:ascii="Times New Roman"/>
          <w:b w:val="false"/>
          <w:i w:val="false"/>
          <w:color w:val="000000"/>
          <w:sz w:val="28"/>
        </w:rPr>
        <w:t>
      "11) отдает распоряжения по ведению режимов передачи и потребления электрической энергии, а также принимает меры по ограничению или снижению плановой поставки электрической энергии для лиц, осуществляющих деятельность по цифровому майнингу, при формировании и реализации суточного графика производства-потребления электрической энергии, при возникновении дефицита электрической энергии или мощности генерирующих установок, а также для предотвращения аварийных ситуаций.</w:t>
      </w:r>
    </w:p>
    <w:bookmarkEnd w:id="42"/>
    <w:bookmarkStart w:name="z54" w:id="43"/>
    <w:p>
      <w:pPr>
        <w:spacing w:after="0"/>
        <w:ind w:left="0"/>
        <w:jc w:val="both"/>
      </w:pPr>
      <w:r>
        <w:rPr>
          <w:rFonts w:ascii="Times New Roman"/>
          <w:b w:val="false"/>
          <w:i w:val="false"/>
          <w:color w:val="000000"/>
          <w:sz w:val="28"/>
        </w:rPr>
        <w:t>
      При этом, в случае профицита электрической энергии в отдельных зонах ЕЭС Казахстана с учетом перетоков из Северной зоны в Южную зону ЕЭС Казахстана, системный оператор снимает введенные ограничения в данной зоне для лиц, осуществляющих деятельность по цифровому майнингу, прямо пропорционально потребляемой электрической мощности:</w:t>
      </w:r>
    </w:p>
    <w:bookmarkEnd w:id="43"/>
    <w:bookmarkStart w:name="z55" w:id="44"/>
    <w:p>
      <w:pPr>
        <w:spacing w:after="0"/>
        <w:ind w:left="0"/>
        <w:jc w:val="both"/>
      </w:pPr>
      <w:r>
        <w:rPr>
          <w:rFonts w:ascii="Times New Roman"/>
          <w:b w:val="false"/>
          <w:i w:val="false"/>
          <w:color w:val="000000"/>
          <w:sz w:val="28"/>
        </w:rPr>
        <w:t xml:space="preserve">
      проинформировавших уполномоченный орган в сфере обеспечения информационной безопасности о своей деятельности согласно Правилам информирования о деятельности по осуществлению цифрового майнинга,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13 октября 2020 года № 384/НҚ (зарегистрирован в Реестре государственной регистрации нормативных правовых актов за № 21445);</w:t>
      </w:r>
    </w:p>
    <w:bookmarkEnd w:id="44"/>
    <w:bookmarkStart w:name="z56" w:id="45"/>
    <w:p>
      <w:pPr>
        <w:spacing w:after="0"/>
        <w:ind w:left="0"/>
        <w:jc w:val="both"/>
      </w:pPr>
      <w:r>
        <w:rPr>
          <w:rFonts w:ascii="Times New Roman"/>
          <w:b w:val="false"/>
          <w:i w:val="false"/>
          <w:color w:val="000000"/>
          <w:sz w:val="28"/>
        </w:rPr>
        <w:t>
      суммарная мощность оборудования для осуществления деятельности по цифровому майнингу, принадлежащих им на праве собственности или на ином законном основании, соответствует запрашиваемому потреблению электрической энергии.</w:t>
      </w:r>
    </w:p>
    <w:bookmarkEnd w:id="45"/>
    <w:bookmarkStart w:name="z57" w:id="46"/>
    <w:p>
      <w:pPr>
        <w:spacing w:after="0"/>
        <w:ind w:left="0"/>
        <w:jc w:val="both"/>
      </w:pPr>
      <w:r>
        <w:rPr>
          <w:rFonts w:ascii="Times New Roman"/>
          <w:b w:val="false"/>
          <w:i w:val="false"/>
          <w:color w:val="000000"/>
          <w:sz w:val="28"/>
        </w:rPr>
        <w:t>
      Уполномоченный орган в сфере обеспечения информационной безопасности направляет уполномоченному органу, осуществляющему руководство в области электроэнергетики сведения о лицах, проинформировавших о своей деятельности, которые включают:</w:t>
      </w:r>
    </w:p>
    <w:bookmarkEnd w:id="46"/>
    <w:bookmarkStart w:name="z58" w:id="47"/>
    <w:p>
      <w:pPr>
        <w:spacing w:after="0"/>
        <w:ind w:left="0"/>
        <w:jc w:val="both"/>
      </w:pPr>
      <w:r>
        <w:rPr>
          <w:rFonts w:ascii="Times New Roman"/>
          <w:b w:val="false"/>
          <w:i w:val="false"/>
          <w:color w:val="000000"/>
          <w:sz w:val="28"/>
        </w:rPr>
        <w:t>
      копию грузовой таможенной декларации и (или) документ, подтверждающий наличие оборудования для осуществления деятельности по цифровому майнингу на праве собственности или ином законном основании;</w:t>
      </w:r>
    </w:p>
    <w:bookmarkEnd w:id="47"/>
    <w:bookmarkStart w:name="z59" w:id="48"/>
    <w:p>
      <w:pPr>
        <w:spacing w:after="0"/>
        <w:ind w:left="0"/>
        <w:jc w:val="both"/>
      </w:pPr>
      <w:r>
        <w:rPr>
          <w:rFonts w:ascii="Times New Roman"/>
          <w:b w:val="false"/>
          <w:i w:val="false"/>
          <w:color w:val="000000"/>
          <w:sz w:val="28"/>
        </w:rPr>
        <w:t>
      информацию о месторасположении центра обработки данных для осуществления деятельности по цифровому майнингу;</w:t>
      </w:r>
    </w:p>
    <w:bookmarkEnd w:id="48"/>
    <w:bookmarkStart w:name="z60" w:id="49"/>
    <w:p>
      <w:pPr>
        <w:spacing w:after="0"/>
        <w:ind w:left="0"/>
        <w:jc w:val="both"/>
      </w:pPr>
      <w:r>
        <w:rPr>
          <w:rFonts w:ascii="Times New Roman"/>
          <w:b w:val="false"/>
          <w:i w:val="false"/>
          <w:color w:val="000000"/>
          <w:sz w:val="28"/>
        </w:rPr>
        <w:t>
      документ, подтверждающий резидентство Республики Казахстан, лица, осуществляющего деятельность по цифровому майнингу;</w:t>
      </w:r>
    </w:p>
    <w:bookmarkEnd w:id="49"/>
    <w:bookmarkStart w:name="z61" w:id="50"/>
    <w:p>
      <w:pPr>
        <w:spacing w:after="0"/>
        <w:ind w:left="0"/>
        <w:jc w:val="both"/>
      </w:pPr>
      <w:r>
        <w:rPr>
          <w:rFonts w:ascii="Times New Roman"/>
          <w:b w:val="false"/>
          <w:i w:val="false"/>
          <w:color w:val="000000"/>
          <w:sz w:val="28"/>
        </w:rPr>
        <w:t>
      копию технических условий на присоединение к электрическим сетям на осуществление деятельности по цифровому майнингу.".</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