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c0f9" w14:textId="4eac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18 мая 2022 года № 513. Зарегистрирован в Министерстве юстиции Республики Казахстан 19 мая 2022 года № 28129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(зарегистрирован в Реестре государственной регистрации нормативных правовых актов Республики Казахстан под № 15127)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5"/>
    <w:bookmarkStart w:name="z12"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3" w:id="7"/>
    <w:p>
      <w:pPr>
        <w:spacing w:after="0"/>
        <w:ind w:left="0"/>
        <w:jc w:val="both"/>
      </w:pPr>
      <w:r>
        <w:rPr>
          <w:rFonts w:ascii="Times New Roman"/>
          <w:b w:val="false"/>
          <w:i w:val="false"/>
          <w:color w:val="000000"/>
          <w:sz w:val="28"/>
        </w:rPr>
        <w:t xml:space="preserve">
      3. Настоящий приказ вводится в действие с 1 июля 2022 года и подлежит официальному опубликованию.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231</w:t>
            </w:r>
          </w:p>
        </w:tc>
      </w:tr>
    </w:tbl>
    <w:bookmarkStart w:name="z17" w:id="8"/>
    <w:p>
      <w:pPr>
        <w:spacing w:after="0"/>
        <w:ind w:left="0"/>
        <w:jc w:val="left"/>
      </w:pPr>
      <w:r>
        <w:rPr>
          <w:rFonts w:ascii="Times New Roman"/>
          <w:b/>
          <w:i w:val="false"/>
          <w:color w:val="000000"/>
        </w:rPr>
        <w:t xml:space="preserve">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(пододеяльники, простыни, наволочки, наматрасники)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подушка, матрац, чехол для матраса, плед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 покрывало, полотенце, салфетки текстильные, шторки, шторы, занавески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готовые мужские, женские и детские (блузки, брюки, джемпера, жакеты, костюмы, купальники, куртки, куртки-пиджаки, пальто, пиджаки, полушубки, плавки, сорочки, тенниски, толстовки, футболки-поло, шорты и юбки,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халат рабочий, фартук, жилет, жилет-накидка, жилет сигнальный, костюм санитарный, костюм противокислотный, костюм для защиты от пониженных температур, костюм для защиты от производственных загрязнений, нарукавники из ткани, костюм сварщика, плащ для защиты от воды, комбинезон рабочий, рубашка формовая с коротким и длинным рукавом, костюм камуфляжный, костюм для защиты от общих производственных загрязнений и механических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медицинского назначения (халат медицинский, костюм медицинский, костюм хирургический, бахилы хирургические, халат-накидка для посетителей, пеленки, пелерина (рентгенозащитная)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мужское и женское (пижама, кальсоны, майка, майка с шортами, трусы, носки, портянки, футболка, сорочка ночная, халат и рубашка)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(берет, бейсболка, кепи, кепка, колпак, косынка, шапка, шлем, шляпа,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(ботинки, боты (мужские, специальные для специального костюма, резиновые, мужские, диэлектрические, резиновые), бутсы, галоши резиновые, валенки, кроссовки, полуботинки, полусапожки, сандалии, тапочки, тапочки (сланцы), туфли, сапоги,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галстуки, шарфы шейные, носки, гетры, гольфы, чулки, части одежды или аксессуары к одежде, из материалов текстильных (подшлемник, нашивка, пояс, рабочая сумка, рюкзак, портфель, портмоне, ремень, дорожка, рукавица, сумка-термос, ремешок, перчатки, варежки, подворотнички)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за исключением джутовых, пленок и пакетов полиэтиленовых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чехлы, полога, тенты (палатки)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текстильные прочие (тряпки для мытья полов, посуды, удаления пыли и принадлежности прочие для чистки, мешочки для геологических проб, салфетки технические, ветоши, за исключением ветоши для электротехнического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легкой промышленности (ткань, кожа, войлок, нитки, нити, вязь хлопчатобумажная, панно, ковер, коврик, кошма, набивка, набор дорожный, полотно, пряжа, прихватка, рукав напорный, пояс пожарный, синтепон, стелька, флаг, флажок, фуршетная юбка, шнур, эмблема, бант (для стульев, из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мебель для офисов, студий, гостиниц, ресторанов и общественных мест (стулья, сидения, табуреты, диваны, кресла, скамьи, стойки, демонстрационные шкафы, полки, боксы, прилавки, верстаки, приставки, станции барные, трибуны, стеллажи, шкафы, плечики, вешалки, тумбы, перегородки, комплекты мебели, стойки ресепшн, полки, пирамиды, стенды, трюмо, ширмы, полотенечниц, комоды, кровати,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и школьная мебель (парты ученические, стулья ученические, кровати детские, шкафы детские, мебельные гарнитуры, манежи,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(лабораторные скамьи, табуреты, прочие лабораторные сидения, шкафы, столешницы, стеллажи, полки, тумбы и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мебель (кухонная гарнитура, столешницы, барные стойки, столы-мойки)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техника (рабочие станции, персональные компьютеры, моноблоки, мониторы, экраны, процессоры, ноутбуки, многофункциональные устройства, принтеры,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(легковой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(летнее, зимнее, арктическое)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периодических печатных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