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b42c" w14:textId="1b6b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27 февраля 2015 года № 18-04/149 "Об утверждении Правил распределения квот изъятия объектов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2022 года № 182. Зарегистрирован в Министерстве юстиции Республики Казахстан 25 мая 2022 года № 28197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под № 10865)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Распределение квот изъятия видов животных, являющихся объектами охоты и рыболовства, осуществляется на основании лимитов на изъятия рыбных ресурсов и других водных животных который устанавливается на период с 1 июля текущего года по 1 июля будущего года, и лимитов изъятия видов животных, являющихся объектом охоты который устанавливается на период с 15 февраля текущего года по 15 февраля будущего года, в соответствии с частью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об охране, воспроизводстве и использовании животного мира.";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получения государственной услуги физические и (или) юридические лица (далее – услугополучатель) подают заявку услугодателю через портал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 15 февраля текущего года, на основании учетных данных по видам животных, являющихся объектами охоты;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квот изъятия рыбных ресурсов и других водных животных в рыбохозяйственных водоемах и (или) участках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 10 июня текущего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заявки, услугополучателю в "личный кабинет" направляется статус о принятии запроса для оказания государственной услуги.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день поступления заявки на получение квоты изъятия по видам животных, являющихся объектами охоты для охотничьего хозяйства либо заявки на получение квот изъятия рыбных ресурсов и других водных животных в рыбохозяйственных водоемах и (или) участках осуществляет их прием, регистрацию и передает на исполнение ответственному работнику.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в течение 7 (семи)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лимитов изъятия объектов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оснований для отказа в оказании государственной услуги по основаниям, указанным в пункте 9 Стандарта настоящих Правил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следующие решения: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распределяет квоту изъятия видов животных, являющихся объектами охоты и рыболовства;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мотивированный отказ в оказании государственной услуги по основаниям указанным в пункте 9 Стандарта.";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 оказания государственной услуги направляется услугодателем в "личный кабинет" услугополучателя на портале, в форме электронного документа, подписанного ЭЦП уполномоченного лица.";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орган, должностному лицу, чей административный акт, административное действие (бездействие) обжалуются;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пунктом 6 статьи 100 Административного процедурно-процессуального кодекса Республики Казахстан.".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"Распределение квот на изъятие объектов животного мира на основании утвержденных лимитов"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а также республиканские ассоциации общественных объединений рыболовов и субъектов рыбного хозяйства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документов- 7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статьей 5 Закона,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видов животных, являющихся объектами охоты,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заявку на получение квоты изъятия по видам животных, являющихся объектами охоты для охотничьего хозяйства в форме электронного документа, удостоверенное ЭЦП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15 февраля текущего года, на основании учетных данных по видам животных, являющихся объектами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рыбных ресурсов и других водных животных,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заявку на получение квот изъятия рыбных ресурсов и других водных животных в рыбохозяйственных водоемах и (или) участках в форме электронного документа, удостоверенное ЭЦП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10 июня текущего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квота на изъятие видов животных должна соответствовать утвержденным в установленном порядке нормативам изъятия видов животных, являющихся объектами охоты,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18-03/271а (зарегистрирован в Реестре государственной регистрации нормативно-правовых актов за № 11005).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 изъятия рыбных ресурсов и других водных животных в рыбохозяйственных водоемах и (или) участках</w:t>
      </w:r>
    </w:p>
    <w:bookmarkEnd w:id="39"/>
    <w:p>
      <w:pPr>
        <w:spacing w:after="0"/>
        <w:ind w:left="0"/>
        <w:jc w:val="both"/>
      </w:pPr>
      <w:bookmarkStart w:name="z73" w:id="40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№ _______ от "____" 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с территориальными подразделениями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Освоение выделенных квот изъятия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 июля прошлого года по 1 июля текущего года __________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(зарыбление) рыбных ресурсов с 1 июля прошлого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1 июля текущего года,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Сеголетками (миллион штук),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до 0,05, от 0,05 до 0,1_______, от 0,1 и выше______;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Личинками (миллион штук), из них: __________до 3, от 3 и выше________;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подсчета рейтинговой оценки</w:t>
      </w:r>
    </w:p>
    <w:bookmarkEnd w:id="41"/>
    <w:p>
      <w:pPr>
        <w:spacing w:after="0"/>
        <w:ind w:left="0"/>
        <w:jc w:val="both"/>
      </w:pPr>
      <w:bookmarkStart w:name="z78" w:id="42"/>
      <w:r>
        <w:rPr>
          <w:rFonts w:ascii="Times New Roman"/>
          <w:b w:val="false"/>
          <w:i w:val="false"/>
          <w:color w:val="000000"/>
          <w:sz w:val="28"/>
        </w:rPr>
        <w:t>
      Субъект рыбного хозяйства 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Рыбохозяйственный водоем и (или) участок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оценочный показатель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показателей согласно заявкам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20 балльной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субъекта рыбного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(зарыбление) рыбных ресурсов с 1 июля прошлого года по 1 июля текущего года,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с 1 июля прошлого года по 1 июля текущего года (тонна)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