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2367" w14:textId="9bd2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созданию электронных почвенных карт</w:t>
      </w:r>
    </w:p>
    <w:p>
      <w:pPr>
        <w:spacing w:after="0"/>
        <w:ind w:left="0"/>
        <w:jc w:val="both"/>
      </w:pPr>
      <w:r>
        <w:rPr>
          <w:rFonts w:ascii="Times New Roman"/>
          <w:b w:val="false"/>
          <w:i w:val="false"/>
          <w:color w:val="000000"/>
          <w:sz w:val="28"/>
        </w:rPr>
        <w:t>Приказ Министра сельского хозяйства Республики Казахстан от 8 июня 2022 года № 186. Зарегистрирован в Министерстве юстиции Республики Казахстан 15 июня 2022 года № 28453.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4-11)</w:t>
      </w:r>
      <w:r>
        <w:rPr>
          <w:rFonts w:ascii="Times New Roman"/>
          <w:b w:val="false"/>
          <w:i w:val="false"/>
          <w:color w:val="000000"/>
          <w:sz w:val="28"/>
        </w:rPr>
        <w:t xml:space="preserve"> пункта 1 статьи 14 Земельного кодекса Республики Казахстан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созданию электронных почвенных карт.</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2022 года № 186</w:t>
            </w:r>
          </w:p>
        </w:tc>
      </w:tr>
    </w:tbl>
    <w:bookmarkStart w:name="z14" w:id="8"/>
    <w:p>
      <w:pPr>
        <w:spacing w:after="0"/>
        <w:ind w:left="0"/>
        <w:jc w:val="left"/>
      </w:pPr>
      <w:r>
        <w:rPr>
          <w:rFonts w:ascii="Times New Roman"/>
          <w:b/>
          <w:i w:val="false"/>
          <w:color w:val="000000"/>
        </w:rPr>
        <w:t xml:space="preserve"> Методика по созданию электронных почвенных карт </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по созданию электронных почвенных карт (далее – Методика) разработана в соответствии с </w:t>
      </w:r>
      <w:r>
        <w:rPr>
          <w:rFonts w:ascii="Times New Roman"/>
          <w:b w:val="false"/>
          <w:i w:val="false"/>
          <w:color w:val="000000"/>
          <w:sz w:val="28"/>
        </w:rPr>
        <w:t>подпунктом 4-11)</w:t>
      </w:r>
      <w:r>
        <w:rPr>
          <w:rFonts w:ascii="Times New Roman"/>
          <w:b w:val="false"/>
          <w:i w:val="false"/>
          <w:color w:val="000000"/>
          <w:sz w:val="28"/>
        </w:rPr>
        <w:t xml:space="preserve"> пункта 1 статьи 14 Земельного кодекса Республики Казахстан и применяется при создании электронных почвенных карт.</w:t>
      </w:r>
    </w:p>
    <w:bookmarkEnd w:id="10"/>
    <w:bookmarkStart w:name="z17" w:id="11"/>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географическая информационная система (далее – ГИС) – информационная система, обеспечивающая сбор, обработку, анализ, моделирование, хранение, распространение и иное использование пространственной информации о Земле, об объектах земной поверхности, природных, техногенных и общественных процессах;</w:t>
      </w:r>
    </w:p>
    <w:bookmarkEnd w:id="12"/>
    <w:bookmarkStart w:name="z19" w:id="13"/>
    <w:p>
      <w:pPr>
        <w:spacing w:after="0"/>
        <w:ind w:left="0"/>
        <w:jc w:val="both"/>
      </w:pPr>
      <w:r>
        <w:rPr>
          <w:rFonts w:ascii="Times New Roman"/>
          <w:b w:val="false"/>
          <w:i w:val="false"/>
          <w:color w:val="000000"/>
          <w:sz w:val="28"/>
        </w:rPr>
        <w:t>
      2) база данных географической информационной системы (далее – база данных ГИС) – организованная совокупность пространственных и табличных данных, описывающих конкретную территорию и расположенные на ней объекты;</w:t>
      </w:r>
    </w:p>
    <w:bookmarkEnd w:id="13"/>
    <w:bookmarkStart w:name="z20" w:id="14"/>
    <w:p>
      <w:pPr>
        <w:spacing w:after="0"/>
        <w:ind w:left="0"/>
        <w:jc w:val="both"/>
      </w:pPr>
      <w:r>
        <w:rPr>
          <w:rFonts w:ascii="Times New Roman"/>
          <w:b w:val="false"/>
          <w:i w:val="false"/>
          <w:color w:val="000000"/>
          <w:sz w:val="28"/>
        </w:rPr>
        <w:t>
      3) графический слой – картографическая информация в географической информационной системе;</w:t>
      </w:r>
    </w:p>
    <w:bookmarkEnd w:id="14"/>
    <w:bookmarkStart w:name="z21" w:id="15"/>
    <w:p>
      <w:pPr>
        <w:spacing w:after="0"/>
        <w:ind w:left="0"/>
        <w:jc w:val="both"/>
      </w:pPr>
      <w:r>
        <w:rPr>
          <w:rFonts w:ascii="Times New Roman"/>
          <w:b w:val="false"/>
          <w:i w:val="false"/>
          <w:color w:val="000000"/>
          <w:sz w:val="28"/>
        </w:rPr>
        <w:t>
      4) сканирование картографического материала – создание растровой формы картографического материала;</w:t>
      </w:r>
    </w:p>
    <w:bookmarkEnd w:id="15"/>
    <w:bookmarkStart w:name="z22" w:id="16"/>
    <w:p>
      <w:pPr>
        <w:spacing w:after="0"/>
        <w:ind w:left="0"/>
        <w:jc w:val="both"/>
      </w:pPr>
      <w:r>
        <w:rPr>
          <w:rFonts w:ascii="Times New Roman"/>
          <w:b w:val="false"/>
          <w:i w:val="false"/>
          <w:color w:val="000000"/>
          <w:sz w:val="28"/>
        </w:rPr>
        <w:t>
      5) кодирование – процесс преобразования информации в форме программного кода на языке программирования;</w:t>
      </w:r>
    </w:p>
    <w:bookmarkEnd w:id="16"/>
    <w:bookmarkStart w:name="z23" w:id="17"/>
    <w:p>
      <w:pPr>
        <w:spacing w:after="0"/>
        <w:ind w:left="0"/>
        <w:jc w:val="both"/>
      </w:pPr>
      <w:r>
        <w:rPr>
          <w:rFonts w:ascii="Times New Roman"/>
          <w:b w:val="false"/>
          <w:i w:val="false"/>
          <w:color w:val="000000"/>
          <w:sz w:val="28"/>
        </w:rPr>
        <w:t>
      6) топографический план – крупномасштабное картографическое изображение ограниченного участка местности на плоскости, в ортогональной проекции без учета кривизны уровенной поверхности;</w:t>
      </w:r>
    </w:p>
    <w:bookmarkEnd w:id="17"/>
    <w:bookmarkStart w:name="z24" w:id="18"/>
    <w:p>
      <w:pPr>
        <w:spacing w:after="0"/>
        <w:ind w:left="0"/>
        <w:jc w:val="both"/>
      </w:pPr>
      <w:r>
        <w:rPr>
          <w:rFonts w:ascii="Times New Roman"/>
          <w:b w:val="false"/>
          <w:i w:val="false"/>
          <w:color w:val="000000"/>
          <w:sz w:val="28"/>
        </w:rPr>
        <w:t>
      7) почвенный контур – выделенный на почвенной карте ареал почвенного покрова, включающий одну или несколько закономерно чередующихся почв;</w:t>
      </w:r>
    </w:p>
    <w:bookmarkEnd w:id="18"/>
    <w:bookmarkStart w:name="z25" w:id="19"/>
    <w:p>
      <w:pPr>
        <w:spacing w:after="0"/>
        <w:ind w:left="0"/>
        <w:jc w:val="both"/>
      </w:pPr>
      <w:r>
        <w:rPr>
          <w:rFonts w:ascii="Times New Roman"/>
          <w:b w:val="false"/>
          <w:i w:val="false"/>
          <w:color w:val="000000"/>
          <w:sz w:val="28"/>
        </w:rPr>
        <w:t>
      8) фотоплан – точный фотографический план местности, показывающий точное плановое изображение местности;</w:t>
      </w:r>
    </w:p>
    <w:bookmarkEnd w:id="19"/>
    <w:bookmarkStart w:name="z26" w:id="20"/>
    <w:p>
      <w:pPr>
        <w:spacing w:after="0"/>
        <w:ind w:left="0"/>
        <w:jc w:val="both"/>
      </w:pPr>
      <w:r>
        <w:rPr>
          <w:rFonts w:ascii="Times New Roman"/>
          <w:b w:val="false"/>
          <w:i w:val="false"/>
          <w:color w:val="000000"/>
          <w:sz w:val="28"/>
        </w:rPr>
        <w:t>
      9) электронная почвенная карта – карта сведений (данных) почвенного изыскания, представляющая информацию о почвенном покрове определенной местности с указанием их особенностей и свойств в электронном формате.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сельского хозяйства РК от 03.03.2023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Глава 2. Создание электронной почвенной карты</w:t>
      </w:r>
    </w:p>
    <w:bookmarkEnd w:id="21"/>
    <w:bookmarkStart w:name="z28" w:id="22"/>
    <w:p>
      <w:pPr>
        <w:spacing w:after="0"/>
        <w:ind w:left="0"/>
        <w:jc w:val="both"/>
      </w:pPr>
      <w:r>
        <w:rPr>
          <w:rFonts w:ascii="Times New Roman"/>
          <w:b w:val="false"/>
          <w:i w:val="false"/>
          <w:color w:val="000000"/>
          <w:sz w:val="28"/>
        </w:rPr>
        <w:t xml:space="preserve">
      3. Электронная почвенная карта создается в ГИС. </w:t>
      </w:r>
    </w:p>
    <w:bookmarkEnd w:id="22"/>
    <w:bookmarkStart w:name="z29" w:id="23"/>
    <w:p>
      <w:pPr>
        <w:spacing w:after="0"/>
        <w:ind w:left="0"/>
        <w:jc w:val="both"/>
      </w:pPr>
      <w:r>
        <w:rPr>
          <w:rFonts w:ascii="Times New Roman"/>
          <w:b w:val="false"/>
          <w:i w:val="false"/>
          <w:color w:val="000000"/>
          <w:sz w:val="28"/>
        </w:rPr>
        <w:t xml:space="preserve">
      В процессе создания электронной почвенной карты используется база данных ГИС. </w:t>
      </w:r>
    </w:p>
    <w:bookmarkEnd w:id="23"/>
    <w:bookmarkStart w:name="z30" w:id="24"/>
    <w:p>
      <w:pPr>
        <w:spacing w:after="0"/>
        <w:ind w:left="0"/>
        <w:jc w:val="both"/>
      </w:pPr>
      <w:r>
        <w:rPr>
          <w:rFonts w:ascii="Times New Roman"/>
          <w:b w:val="false"/>
          <w:i w:val="false"/>
          <w:color w:val="000000"/>
          <w:sz w:val="28"/>
        </w:rPr>
        <w:t>
      База данных ГИС содержит информацию о границах сельских округов и данные о свойствах почв (компоненты в почвенном комплексе, размер в гранулах, степень засоления, наличие и количество щебня, камней в почвах) конкретных разрезов с точной привязкой на местности.</w:t>
      </w:r>
    </w:p>
    <w:bookmarkEnd w:id="24"/>
    <w:bookmarkStart w:name="z31" w:id="25"/>
    <w:p>
      <w:pPr>
        <w:spacing w:after="0"/>
        <w:ind w:left="0"/>
        <w:jc w:val="both"/>
      </w:pPr>
      <w:r>
        <w:rPr>
          <w:rFonts w:ascii="Times New Roman"/>
          <w:b w:val="false"/>
          <w:i w:val="false"/>
          <w:color w:val="000000"/>
          <w:sz w:val="28"/>
        </w:rPr>
        <w:t>
      4. Процесс создания электронной почвенной карты состоит из следующих работ:</w:t>
      </w:r>
    </w:p>
    <w:bookmarkEnd w:id="25"/>
    <w:bookmarkStart w:name="z32" w:id="26"/>
    <w:p>
      <w:pPr>
        <w:spacing w:after="0"/>
        <w:ind w:left="0"/>
        <w:jc w:val="both"/>
      </w:pPr>
      <w:r>
        <w:rPr>
          <w:rFonts w:ascii="Times New Roman"/>
          <w:b w:val="false"/>
          <w:i w:val="false"/>
          <w:color w:val="000000"/>
          <w:sz w:val="28"/>
        </w:rPr>
        <w:t>
      1) подготовка исходных материалов, включающий сбор информации о ранее выполненных работах на конкретном участке местности по созданию электронной картографической информации с целью недопущения дублирования процессов при создании электронной почвенной карты, систематизацию и анализ собранных сведений (данных) обеспеченности территории объекта;</w:t>
      </w:r>
    </w:p>
    <w:bookmarkEnd w:id="26"/>
    <w:bookmarkStart w:name="z33" w:id="27"/>
    <w:p>
      <w:pPr>
        <w:spacing w:after="0"/>
        <w:ind w:left="0"/>
        <w:jc w:val="both"/>
      </w:pPr>
      <w:r>
        <w:rPr>
          <w:rFonts w:ascii="Times New Roman"/>
          <w:b w:val="false"/>
          <w:i w:val="false"/>
          <w:color w:val="000000"/>
          <w:sz w:val="28"/>
        </w:rPr>
        <w:t>
      2) векторизация почвенных контуров и формирование базы данных электронной почвенной карты;</w:t>
      </w:r>
    </w:p>
    <w:bookmarkEnd w:id="27"/>
    <w:bookmarkStart w:name="z34" w:id="28"/>
    <w:p>
      <w:pPr>
        <w:spacing w:after="0"/>
        <w:ind w:left="0"/>
        <w:jc w:val="both"/>
      </w:pPr>
      <w:r>
        <w:rPr>
          <w:rFonts w:ascii="Times New Roman"/>
          <w:b w:val="false"/>
          <w:i w:val="false"/>
          <w:color w:val="000000"/>
          <w:sz w:val="28"/>
        </w:rPr>
        <w:t>
      3) оформление отвекторизованной электронной почвенной карты.</w:t>
      </w:r>
    </w:p>
    <w:bookmarkEnd w:id="28"/>
    <w:bookmarkStart w:name="z35" w:id="29"/>
    <w:p>
      <w:pPr>
        <w:spacing w:after="0"/>
        <w:ind w:left="0"/>
        <w:jc w:val="both"/>
      </w:pPr>
      <w:r>
        <w:rPr>
          <w:rFonts w:ascii="Times New Roman"/>
          <w:b w:val="false"/>
          <w:i w:val="false"/>
          <w:color w:val="000000"/>
          <w:sz w:val="28"/>
        </w:rPr>
        <w:t xml:space="preserve">
      5. Подготовка исходных материалов для создания электронной почвенной карты осуществляется посредством сканирования картографических материалов. При построении и преобразовании создаваемой электронной почвенной карты отклонения в точности от исходного картографического материала не допускается. Для получения качественного изображения при сканировании картографического материала выставляется разрешение 150-300 точек на дюйм. </w:t>
      </w:r>
    </w:p>
    <w:bookmarkEnd w:id="29"/>
    <w:bookmarkStart w:name="z36" w:id="30"/>
    <w:p>
      <w:pPr>
        <w:spacing w:after="0"/>
        <w:ind w:left="0"/>
        <w:jc w:val="both"/>
      </w:pPr>
      <w:r>
        <w:rPr>
          <w:rFonts w:ascii="Times New Roman"/>
          <w:b w:val="false"/>
          <w:i w:val="false"/>
          <w:color w:val="000000"/>
          <w:sz w:val="28"/>
        </w:rPr>
        <w:t xml:space="preserve">
      После сканирования исходного картографического материала осуществляется предварительная проверка пригодности полученного растрового изображения для дальнейшей его векторизации и сравнение растрового изображения с исходным картографическим материалом на предмет установления полноты и достоверности сканирования. </w:t>
      </w:r>
    </w:p>
    <w:bookmarkEnd w:id="30"/>
    <w:bookmarkStart w:name="z37" w:id="31"/>
    <w:p>
      <w:pPr>
        <w:spacing w:after="0"/>
        <w:ind w:left="0"/>
        <w:jc w:val="both"/>
      </w:pPr>
      <w:r>
        <w:rPr>
          <w:rFonts w:ascii="Times New Roman"/>
          <w:b w:val="false"/>
          <w:i w:val="false"/>
          <w:color w:val="000000"/>
          <w:sz w:val="28"/>
        </w:rPr>
        <w:t>
      По результатам предварительной проверки при обнаружении значительных дефектов осуществляется повторное сканирование картографического материала.</w:t>
      </w:r>
    </w:p>
    <w:bookmarkEnd w:id="31"/>
    <w:bookmarkStart w:name="z38" w:id="32"/>
    <w:p>
      <w:pPr>
        <w:spacing w:after="0"/>
        <w:ind w:left="0"/>
        <w:jc w:val="both"/>
      </w:pPr>
      <w:r>
        <w:rPr>
          <w:rFonts w:ascii="Times New Roman"/>
          <w:b w:val="false"/>
          <w:i w:val="false"/>
          <w:color w:val="000000"/>
          <w:sz w:val="28"/>
        </w:rPr>
        <w:t>
      6. Отсканированное изображение исходного картографического материала регистрируется в ГИС с целью дальнейшей векторизации растрового изображения в выбранной картографической проекции и в координатной системе отсчета.</w:t>
      </w:r>
    </w:p>
    <w:bookmarkEnd w:id="32"/>
    <w:bookmarkStart w:name="z39" w:id="33"/>
    <w:p>
      <w:pPr>
        <w:spacing w:after="0"/>
        <w:ind w:left="0"/>
        <w:jc w:val="both"/>
      </w:pPr>
      <w:r>
        <w:rPr>
          <w:rFonts w:ascii="Times New Roman"/>
          <w:b w:val="false"/>
          <w:i w:val="false"/>
          <w:color w:val="000000"/>
          <w:sz w:val="28"/>
        </w:rPr>
        <w:t>
      Отсканированное изображение исходного картографического материала привязывается к координатной системе отсчета, используемой при ведении государственного земельного кадастра, либо к координатной системе исходного картографического материала (фотопланы, топографические карты и планы). При этом, для точной привязки растровой подложки необходимо обеспечить минимальную среднеквадратическую ошибку в пределах точности масштаба картографического материала.</w:t>
      </w:r>
    </w:p>
    <w:bookmarkEnd w:id="33"/>
    <w:bookmarkStart w:name="z40" w:id="34"/>
    <w:p>
      <w:pPr>
        <w:spacing w:after="0"/>
        <w:ind w:left="0"/>
        <w:jc w:val="both"/>
      </w:pPr>
      <w:r>
        <w:rPr>
          <w:rFonts w:ascii="Times New Roman"/>
          <w:b w:val="false"/>
          <w:i w:val="false"/>
          <w:color w:val="000000"/>
          <w:sz w:val="28"/>
        </w:rPr>
        <w:t>
      Привязка растрового изображения производится с помощью инструментов ГИС, путем нанесения опорных точек на растре по координатам.</w:t>
      </w:r>
    </w:p>
    <w:bookmarkEnd w:id="34"/>
    <w:bookmarkStart w:name="z41" w:id="35"/>
    <w:p>
      <w:pPr>
        <w:spacing w:after="0"/>
        <w:ind w:left="0"/>
        <w:jc w:val="both"/>
      </w:pPr>
      <w:r>
        <w:rPr>
          <w:rFonts w:ascii="Times New Roman"/>
          <w:b w:val="false"/>
          <w:i w:val="false"/>
          <w:color w:val="000000"/>
          <w:sz w:val="28"/>
        </w:rPr>
        <w:t>
      После завершения привязки растрового изображения к координатной системе проверяется точность наложения данного растрового изображения на фотопланы.</w:t>
      </w:r>
    </w:p>
    <w:bookmarkEnd w:id="35"/>
    <w:bookmarkStart w:name="z42" w:id="36"/>
    <w:p>
      <w:pPr>
        <w:spacing w:after="0"/>
        <w:ind w:left="0"/>
        <w:jc w:val="both"/>
      </w:pPr>
      <w:r>
        <w:rPr>
          <w:rFonts w:ascii="Times New Roman"/>
          <w:b w:val="false"/>
          <w:i w:val="false"/>
          <w:color w:val="000000"/>
          <w:sz w:val="28"/>
        </w:rPr>
        <w:t>
      7. После проверки точности наложения растрового изображения на фотопланы проводится векторизация почвенных контуров и формирование базы данных электронной почвенной карты.</w:t>
      </w:r>
    </w:p>
    <w:bookmarkEnd w:id="36"/>
    <w:bookmarkStart w:name="z43" w:id="37"/>
    <w:p>
      <w:pPr>
        <w:spacing w:after="0"/>
        <w:ind w:left="0"/>
        <w:jc w:val="both"/>
      </w:pPr>
      <w:r>
        <w:rPr>
          <w:rFonts w:ascii="Times New Roman"/>
          <w:b w:val="false"/>
          <w:i w:val="false"/>
          <w:color w:val="000000"/>
          <w:sz w:val="28"/>
        </w:rPr>
        <w:t>
      Процесс векторизации почвенных контуров представляет собой создание контуров, полигонов площадных объектов графическими слоями и заполнение атрибутивных данных, подлежащих отображению на электронной почвенной карте, посредством инструментов ГИС. Все объекты, подлежащие отображению на электронной почвенной карте, разделяются по элементам содержания электронной почвенной карты. Каждая группа элементов наносится на соответствующий графический слой, имеющий индивидуальное название и структуру. Все почвенные контуры соединяются в узел с линией границ, не выходя за пределы рамки.</w:t>
      </w:r>
    </w:p>
    <w:bookmarkEnd w:id="37"/>
    <w:bookmarkStart w:name="z44" w:id="38"/>
    <w:p>
      <w:pPr>
        <w:spacing w:after="0"/>
        <w:ind w:left="0"/>
        <w:jc w:val="both"/>
      </w:pPr>
      <w:r>
        <w:rPr>
          <w:rFonts w:ascii="Times New Roman"/>
          <w:b w:val="false"/>
          <w:i w:val="false"/>
          <w:color w:val="000000"/>
          <w:sz w:val="28"/>
        </w:rPr>
        <w:t>
      Атрибутивные данные электронной почвенной карты согласно приложению к настоящей Методике вносятся в электронную почвенную карту из сведений (данных) почвенных исследований.</w:t>
      </w:r>
    </w:p>
    <w:bookmarkEnd w:id="38"/>
    <w:bookmarkStart w:name="z45" w:id="39"/>
    <w:p>
      <w:pPr>
        <w:spacing w:after="0"/>
        <w:ind w:left="0"/>
        <w:jc w:val="both"/>
      </w:pPr>
      <w:r>
        <w:rPr>
          <w:rFonts w:ascii="Times New Roman"/>
          <w:b w:val="false"/>
          <w:i w:val="false"/>
          <w:color w:val="000000"/>
          <w:sz w:val="28"/>
        </w:rPr>
        <w:t xml:space="preserve">
      В целях обеспечения точности и полноты векторизации почвенных контуров проводится анализ сведений (данных) почвенных исследований, в ходе которого изучаются классификация почв по гранулометрическому (механическому) составу, химические, физические и морфологические свойства почв, отчеты почвенных исследований, условные обозначения и легенда к почвенной карте. </w:t>
      </w:r>
    </w:p>
    <w:bookmarkEnd w:id="39"/>
    <w:bookmarkStart w:name="z46" w:id="40"/>
    <w:p>
      <w:pPr>
        <w:spacing w:after="0"/>
        <w:ind w:left="0"/>
        <w:jc w:val="both"/>
      </w:pPr>
      <w:r>
        <w:rPr>
          <w:rFonts w:ascii="Times New Roman"/>
          <w:b w:val="false"/>
          <w:i w:val="false"/>
          <w:color w:val="000000"/>
          <w:sz w:val="28"/>
        </w:rPr>
        <w:t>
      8. По завершению работ векторизации почвенных контуров и формирования базы данных электронной почвенной карты проверяется полнота и корректность их внесения, выполнение векторизации почвенных контуров и точность их указания в соответствии со сведениями (данными) почвенных исследований.</w:t>
      </w:r>
    </w:p>
    <w:bookmarkEnd w:id="40"/>
    <w:bookmarkStart w:name="z47" w:id="41"/>
    <w:p>
      <w:pPr>
        <w:spacing w:after="0"/>
        <w:ind w:left="0"/>
        <w:jc w:val="both"/>
      </w:pPr>
      <w:r>
        <w:rPr>
          <w:rFonts w:ascii="Times New Roman"/>
          <w:b w:val="false"/>
          <w:i w:val="false"/>
          <w:color w:val="000000"/>
          <w:sz w:val="28"/>
        </w:rPr>
        <w:t>
      При выявлении некорректных данных или ошибок осуществляются исправления посредством инструментов ГИС.</w:t>
      </w:r>
    </w:p>
    <w:bookmarkEnd w:id="41"/>
    <w:bookmarkStart w:name="z48" w:id="42"/>
    <w:p>
      <w:pPr>
        <w:spacing w:after="0"/>
        <w:ind w:left="0"/>
        <w:jc w:val="both"/>
      </w:pPr>
      <w:r>
        <w:rPr>
          <w:rFonts w:ascii="Times New Roman"/>
          <w:b w:val="false"/>
          <w:i w:val="false"/>
          <w:color w:val="000000"/>
          <w:sz w:val="28"/>
        </w:rPr>
        <w:t>
      9. Для недопущения пересечений и наложений границ почвенных контуров, при создании электронной почвенной карты проводится анализ данных электронной почвенной карты на наличие топологических ошибок.</w:t>
      </w:r>
    </w:p>
    <w:bookmarkEnd w:id="42"/>
    <w:bookmarkStart w:name="z49" w:id="43"/>
    <w:p>
      <w:pPr>
        <w:spacing w:after="0"/>
        <w:ind w:left="0"/>
        <w:jc w:val="both"/>
      </w:pPr>
      <w:r>
        <w:rPr>
          <w:rFonts w:ascii="Times New Roman"/>
          <w:b w:val="false"/>
          <w:i w:val="false"/>
          <w:color w:val="000000"/>
          <w:sz w:val="28"/>
        </w:rPr>
        <w:t>
      База данных ГИС включает модель топологических данных (слои топологии), позволяющая использовать правила проверки целостности данных, топологического поведения пространственных объектов (почвенных контуров), участвующих в топологии, и отражает топологические отношения, ошибки и исключения.</w:t>
      </w:r>
    </w:p>
    <w:bookmarkEnd w:id="43"/>
    <w:bookmarkStart w:name="z50" w:id="44"/>
    <w:p>
      <w:pPr>
        <w:spacing w:after="0"/>
        <w:ind w:left="0"/>
        <w:jc w:val="both"/>
      </w:pPr>
      <w:r>
        <w:rPr>
          <w:rFonts w:ascii="Times New Roman"/>
          <w:b w:val="false"/>
          <w:i w:val="false"/>
          <w:color w:val="000000"/>
          <w:sz w:val="28"/>
        </w:rPr>
        <w:t xml:space="preserve">
      10. После завершения анализа данных на наличие топологических ошибок производится оформление электронной почвенной карты путем нанесения на электронную почвенную карту условных обозначений и углового штампа с указанием исполнителей, названия, масштаба почвенной карты, года почвенного обследования. </w:t>
      </w:r>
    </w:p>
    <w:bookmarkEnd w:id="44"/>
    <w:bookmarkStart w:name="z51" w:id="45"/>
    <w:p>
      <w:pPr>
        <w:spacing w:after="0"/>
        <w:ind w:left="0"/>
        <w:jc w:val="both"/>
      </w:pPr>
      <w:r>
        <w:rPr>
          <w:rFonts w:ascii="Times New Roman"/>
          <w:b w:val="false"/>
          <w:i w:val="false"/>
          <w:color w:val="000000"/>
          <w:sz w:val="28"/>
        </w:rPr>
        <w:t>
      Окончательная электронная почвенная карта содержит данные о структуре, особенностях, свойствах почв исследуемой территории (процентное участие компонентов в почвенном комплексе, размер в гранулах, степень засоления, наличие и количество щебня, камней в почвах), условные обозначения и угловой штамп.</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созданию</w:t>
            </w:r>
            <w:r>
              <w:br/>
            </w:r>
            <w:r>
              <w:rPr>
                <w:rFonts w:ascii="Times New Roman"/>
                <w:b w:val="false"/>
                <w:i w:val="false"/>
                <w:color w:val="000000"/>
                <w:sz w:val="20"/>
              </w:rPr>
              <w:t>электронных почвенных карт</w:t>
            </w:r>
          </w:p>
        </w:tc>
      </w:tr>
    </w:tbl>
    <w:bookmarkStart w:name="z53" w:id="46"/>
    <w:p>
      <w:pPr>
        <w:spacing w:after="0"/>
        <w:ind w:left="0"/>
        <w:jc w:val="left"/>
      </w:pPr>
      <w:r>
        <w:rPr>
          <w:rFonts w:ascii="Times New Roman"/>
          <w:b/>
          <w:i w:val="false"/>
          <w:color w:val="000000"/>
        </w:rPr>
        <w:t xml:space="preserve"> Атрибутивные данные электронной почвенной карты</w:t>
      </w:r>
    </w:p>
    <w:bookmarkEnd w:id="46"/>
    <w:bookmarkStart w:name="z54" w:id="47"/>
    <w:p>
      <w:pPr>
        <w:spacing w:after="0"/>
        <w:ind w:left="0"/>
        <w:jc w:val="left"/>
      </w:pPr>
      <w:r>
        <w:rPr>
          <w:rFonts w:ascii="Times New Roman"/>
          <w:b/>
          <w:i w:val="false"/>
          <w:color w:val="000000"/>
        </w:rPr>
        <w:t xml:space="preserve"> Таблица 1. Слой "Почвенные_контуры" (кодирование механического состава почв)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среднеглинистые (глинистые)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 (суглинистые)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рыхлопесчаные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bl>
    <w:bookmarkStart w:name="z55" w:id="48"/>
    <w:p>
      <w:pPr>
        <w:spacing w:after="0"/>
        <w:ind w:left="0"/>
        <w:jc w:val="left"/>
      </w:pPr>
      <w:r>
        <w:rPr>
          <w:rFonts w:ascii="Times New Roman"/>
          <w:b/>
          <w:i w:val="false"/>
          <w:color w:val="000000"/>
        </w:rPr>
        <w:t xml:space="preserve"> Таблица 2. Слой "Почвенные_контуры" (кодирование каменистости почв)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Классификационный</w:t>
            </w:r>
          </w:p>
          <w:bookmarkEnd w:id="49"/>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слабокаменистые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среднекаменистые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сильнокаменистые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 w:id="50"/>
    <w:p>
      <w:pPr>
        <w:spacing w:after="0"/>
        <w:ind w:left="0"/>
        <w:jc w:val="left"/>
      </w:pPr>
      <w:r>
        <w:rPr>
          <w:rFonts w:ascii="Times New Roman"/>
          <w:b/>
          <w:i w:val="false"/>
          <w:color w:val="000000"/>
        </w:rPr>
        <w:t xml:space="preserve"> Таблица 3. Слой "Почвенные_контуры" (кодирование защебненности (хрящеватости) почв)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слабозащебненные (слабохрящеватые)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среднезащебненные (среднехрящеватые)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сильнозащебненные (сильнохрящеватые)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D</w:t>
            </w:r>
          </w:p>
        </w:tc>
      </w:tr>
    </w:tbl>
    <w:bookmarkStart w:name="z58" w:id="51"/>
    <w:p>
      <w:pPr>
        <w:spacing w:after="0"/>
        <w:ind w:left="0"/>
        <w:jc w:val="left"/>
      </w:pPr>
      <w:r>
        <w:rPr>
          <w:rFonts w:ascii="Times New Roman"/>
          <w:b/>
          <w:i w:val="false"/>
          <w:color w:val="000000"/>
        </w:rPr>
        <w:t xml:space="preserve"> Таблицы 4. Таблица "Почвенные_шифры" (кодирование процентного соотношения почвенных компонентов)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 w:id="52"/>
    <w:p>
      <w:pPr>
        <w:spacing w:after="0"/>
        <w:ind w:left="0"/>
        <w:jc w:val="left"/>
      </w:pPr>
      <w:r>
        <w:rPr>
          <w:rFonts w:ascii="Times New Roman"/>
          <w:b/>
          <w:i w:val="false"/>
          <w:color w:val="000000"/>
        </w:rPr>
        <w:t xml:space="preserve"> Таблица 5. Таблица "Почвенные_шифры" (кодирование степени засоления)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Слабозасоленные</w:t>
            </w:r>
          </w:p>
          <w:p>
            <w:pPr>
              <w:spacing w:after="20"/>
              <w:ind w:left="20"/>
              <w:jc w:val="both"/>
            </w:pPr>
            <w:r>
              <w:rPr>
                <w:rFonts w:ascii="Times New Roman"/>
                <w:b w:val="false"/>
                <w:i w:val="false"/>
                <w:color w:val="000000"/>
                <w:sz w:val="20"/>
              </w:rPr>
              <w:t>(слабосолончаковые,</w:t>
            </w:r>
          </w:p>
          <w:p>
            <w:pPr>
              <w:spacing w:after="20"/>
              <w:ind w:left="20"/>
              <w:jc w:val="both"/>
            </w:pPr>
            <w:r>
              <w:rPr>
                <w:rFonts w:ascii="Times New Roman"/>
                <w:b w:val="false"/>
                <w:i w:val="false"/>
                <w:color w:val="000000"/>
                <w:sz w:val="20"/>
              </w:rPr>
              <w:t>слабосолончаковатые)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Среднезасоленные</w:t>
            </w:r>
          </w:p>
          <w:p>
            <w:pPr>
              <w:spacing w:after="20"/>
              <w:ind w:left="20"/>
              <w:jc w:val="both"/>
            </w:pPr>
            <w:r>
              <w:rPr>
                <w:rFonts w:ascii="Times New Roman"/>
                <w:b w:val="false"/>
                <w:i w:val="false"/>
                <w:color w:val="000000"/>
                <w:sz w:val="20"/>
              </w:rPr>
              <w:t>(среднесолончаковые,</w:t>
            </w:r>
          </w:p>
          <w:p>
            <w:pPr>
              <w:spacing w:after="20"/>
              <w:ind w:left="20"/>
              <w:jc w:val="both"/>
            </w:pPr>
            <w:r>
              <w:rPr>
                <w:rFonts w:ascii="Times New Roman"/>
                <w:b w:val="false"/>
                <w:i w:val="false"/>
                <w:color w:val="000000"/>
                <w:sz w:val="20"/>
              </w:rPr>
              <w:t>среднесолончаковатые)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Сильнозасоленные</w:t>
            </w:r>
          </w:p>
          <w:p>
            <w:pPr>
              <w:spacing w:after="20"/>
              <w:ind w:left="20"/>
              <w:jc w:val="both"/>
            </w:pPr>
            <w:r>
              <w:rPr>
                <w:rFonts w:ascii="Times New Roman"/>
                <w:b w:val="false"/>
                <w:i w:val="false"/>
                <w:color w:val="000000"/>
                <w:sz w:val="20"/>
              </w:rPr>
              <w:t>(сильносолончаковые,</w:t>
            </w:r>
          </w:p>
          <w:p>
            <w:pPr>
              <w:spacing w:after="20"/>
              <w:ind w:left="20"/>
              <w:jc w:val="both"/>
            </w:pPr>
            <w:r>
              <w:rPr>
                <w:rFonts w:ascii="Times New Roman"/>
                <w:b w:val="false"/>
                <w:i w:val="false"/>
                <w:color w:val="000000"/>
                <w:sz w:val="20"/>
              </w:rPr>
              <w:t>сильносолончаковатые)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