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e448" w14:textId="1d1e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энергетики Республики Казахстан от 30 апреля 2021 года № 161 "Об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p>
      <w:pPr>
        <w:spacing w:after="0"/>
        <w:ind w:left="0"/>
        <w:jc w:val="both"/>
      </w:pPr>
      <w:r>
        <w:rPr>
          <w:rFonts w:ascii="Times New Roman"/>
          <w:b w:val="false"/>
          <w:i w:val="false"/>
          <w:color w:val="000000"/>
          <w:sz w:val="28"/>
        </w:rPr>
        <w:t>Приказ Министра энергетики Республики Казахстан от 24 июня 2022 года № 222. Зарегистрирован в Министерстве юстиции Республики Казахстан 24 июня 2022 года № 28594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30 апреля 2021 года № 161 "Об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 (зарегистрирован в Реестре государственной регистрации нормативных правовых актов за № 22727)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аукционных торгов на строительство вновь вводимых в эксплуатацию генерирующих установок с маневренным режимом генерации,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В настоящих Правилах применяются следующие основные термины и определения:</w:t>
      </w:r>
    </w:p>
    <w:bookmarkEnd w:id="3"/>
    <w:bookmarkStart w:name="z9" w:id="4"/>
    <w:p>
      <w:pPr>
        <w:spacing w:after="0"/>
        <w:ind w:left="0"/>
        <w:jc w:val="both"/>
      </w:pPr>
      <w:r>
        <w:rPr>
          <w:rFonts w:ascii="Times New Roman"/>
          <w:b w:val="false"/>
          <w:i w:val="false"/>
          <w:color w:val="000000"/>
          <w:sz w:val="28"/>
        </w:rPr>
        <w:t xml:space="preserve">
      1) банковская гарантия – письменный документ, оформленный в соответствии с Правилами выдачи банковских гарантий и поручительств,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(далее – Правила выдачи банковских гарантий и поручительств),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w:t>
      </w:r>
    </w:p>
    <w:bookmarkEnd w:id="4"/>
    <w:bookmarkStart w:name="z10" w:id="5"/>
    <w:p>
      <w:pPr>
        <w:spacing w:after="0"/>
        <w:ind w:left="0"/>
        <w:jc w:val="both"/>
      </w:pPr>
      <w:r>
        <w:rPr>
          <w:rFonts w:ascii="Times New Roman"/>
          <w:b w:val="false"/>
          <w:i w:val="false"/>
          <w:color w:val="000000"/>
          <w:sz w:val="28"/>
        </w:rPr>
        <w:t>
      2) бенефициар – лицо, в пользу которого осуществляются платеж и (или) перевод денег;</w:t>
      </w:r>
    </w:p>
    <w:bookmarkEnd w:id="5"/>
    <w:bookmarkStart w:name="z11" w:id="6"/>
    <w:p>
      <w:pPr>
        <w:spacing w:after="0"/>
        <w:ind w:left="0"/>
        <w:jc w:val="both"/>
      </w:pPr>
      <w:r>
        <w:rPr>
          <w:rFonts w:ascii="Times New Roman"/>
          <w:b w:val="false"/>
          <w:i w:val="false"/>
          <w:color w:val="000000"/>
          <w:sz w:val="28"/>
        </w:rPr>
        <w:t>
      3) лицо-должник – юридическое лицо, по поручению которого банк-эмитент выпускает банковскую гарантию или резервный аккредитив в пользу бенефициара;</w:t>
      </w:r>
    </w:p>
    <w:bookmarkEnd w:id="6"/>
    <w:bookmarkStart w:name="z12" w:id="7"/>
    <w:p>
      <w:pPr>
        <w:spacing w:after="0"/>
        <w:ind w:left="0"/>
        <w:jc w:val="both"/>
      </w:pPr>
      <w:r>
        <w:rPr>
          <w:rFonts w:ascii="Times New Roman"/>
          <w:b w:val="false"/>
          <w:i w:val="false"/>
          <w:color w:val="000000"/>
          <w:sz w:val="28"/>
        </w:rPr>
        <w:t>
      4) односторонний аукцион – форма организации аукционных торгов, направленная на определение победителя и претендента на победителя, при отказе победителя от заключения договора покупки электрической мощности, путем снижения текущего предложения о цене, начиная со стартовой цены участника аукциона для приобретения предмета аукциона, на шаг аукциона;</w:t>
      </w:r>
    </w:p>
    <w:bookmarkEnd w:id="7"/>
    <w:bookmarkStart w:name="z13" w:id="8"/>
    <w:p>
      <w:pPr>
        <w:spacing w:after="0"/>
        <w:ind w:left="0"/>
        <w:jc w:val="both"/>
      </w:pPr>
      <w:r>
        <w:rPr>
          <w:rFonts w:ascii="Times New Roman"/>
          <w:b w:val="false"/>
          <w:i w:val="false"/>
          <w:color w:val="000000"/>
          <w:sz w:val="28"/>
        </w:rPr>
        <w:t>
      5)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Законом;</w:t>
      </w:r>
    </w:p>
    <w:bookmarkEnd w:id="8"/>
    <w:bookmarkStart w:name="z14" w:id="9"/>
    <w:p>
      <w:pPr>
        <w:spacing w:after="0"/>
        <w:ind w:left="0"/>
        <w:jc w:val="both"/>
      </w:pPr>
      <w:r>
        <w:rPr>
          <w:rFonts w:ascii="Times New Roman"/>
          <w:b w:val="false"/>
          <w:i w:val="false"/>
          <w:color w:val="000000"/>
          <w:sz w:val="28"/>
        </w:rPr>
        <w:t>
      6) реестр победителей аукционных торгов на строительство вновь вводимых в эксплуатацию генерирующих установок с маневренным режимом генерации – документ, формируемый организатором аукционных торгов по итогам всех аукционных торгов и подтверждающий результаты проведенных аукционных торгов;</w:t>
      </w:r>
    </w:p>
    <w:bookmarkEnd w:id="9"/>
    <w:bookmarkStart w:name="z15" w:id="10"/>
    <w:p>
      <w:pPr>
        <w:spacing w:after="0"/>
        <w:ind w:left="0"/>
        <w:jc w:val="both"/>
      </w:pPr>
      <w:r>
        <w:rPr>
          <w:rFonts w:ascii="Times New Roman"/>
          <w:b w:val="false"/>
          <w:i w:val="false"/>
          <w:color w:val="000000"/>
          <w:sz w:val="28"/>
        </w:rPr>
        <w:t>
      7)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 на строительство вновь вводимых в эксплуатацию генерирующих установок с маневренным режимом генерации;</w:t>
      </w:r>
    </w:p>
    <w:bookmarkEnd w:id="10"/>
    <w:bookmarkStart w:name="z16" w:id="11"/>
    <w:p>
      <w:pPr>
        <w:spacing w:after="0"/>
        <w:ind w:left="0"/>
        <w:jc w:val="both"/>
      </w:pPr>
      <w:r>
        <w:rPr>
          <w:rFonts w:ascii="Times New Roman"/>
          <w:b w:val="false"/>
          <w:i w:val="false"/>
          <w:color w:val="000000"/>
          <w:sz w:val="28"/>
        </w:rPr>
        <w:t>
      8)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bookmarkEnd w:id="11"/>
    <w:bookmarkStart w:name="z17" w:id="12"/>
    <w:p>
      <w:pPr>
        <w:spacing w:after="0"/>
        <w:ind w:left="0"/>
        <w:jc w:val="both"/>
      </w:pPr>
      <w:r>
        <w:rPr>
          <w:rFonts w:ascii="Times New Roman"/>
          <w:b w:val="false"/>
          <w:i w:val="false"/>
          <w:color w:val="000000"/>
          <w:sz w:val="28"/>
        </w:rPr>
        <w:t>
      9) участник аукционных торгов на строительство вновь вводимых в эксплуатацию генерирующих установок с маневренным режимом генерации – юридическое лицо, прошедшее регистрацию в электронной системе организатора аукционных торгов и получившее статус участника аукционных торгов;</w:t>
      </w:r>
    </w:p>
    <w:bookmarkEnd w:id="12"/>
    <w:bookmarkStart w:name="z18" w:id="13"/>
    <w:p>
      <w:pPr>
        <w:spacing w:after="0"/>
        <w:ind w:left="0"/>
        <w:jc w:val="both"/>
      </w:pPr>
      <w:r>
        <w:rPr>
          <w:rFonts w:ascii="Times New Roman"/>
          <w:b w:val="false"/>
          <w:i w:val="false"/>
          <w:color w:val="000000"/>
          <w:sz w:val="28"/>
        </w:rPr>
        <w:t>
      10) организатор аукционных торгов на строительство вновь вводимых в эксплуатацию генерирующих установок с маневренным режимом генерации – юридическое лицо, более пятидесяти процентов акций (долей участия в уставном капитале) которой принадлежат государству и аффилированным с ним лицам, определяемое уполномоченным органом, осуществляющее в порядке, предусмотренном Законом, организацию и проведение аукционных торгов;</w:t>
      </w:r>
    </w:p>
    <w:bookmarkEnd w:id="13"/>
    <w:bookmarkStart w:name="z19" w:id="14"/>
    <w:p>
      <w:pPr>
        <w:spacing w:after="0"/>
        <w:ind w:left="0"/>
        <w:jc w:val="both"/>
      </w:pPr>
      <w:r>
        <w:rPr>
          <w:rFonts w:ascii="Times New Roman"/>
          <w:b w:val="false"/>
          <w:i w:val="false"/>
          <w:color w:val="000000"/>
          <w:sz w:val="28"/>
        </w:rPr>
        <w:t>
      11)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14"/>
    <w:bookmarkStart w:name="z20" w:id="15"/>
    <w:p>
      <w:pPr>
        <w:spacing w:after="0"/>
        <w:ind w:left="0"/>
        <w:jc w:val="both"/>
      </w:pPr>
      <w:r>
        <w:rPr>
          <w:rFonts w:ascii="Times New Roman"/>
          <w:b w:val="false"/>
          <w:i w:val="false"/>
          <w:color w:val="000000"/>
          <w:sz w:val="28"/>
        </w:rPr>
        <w:t>
      12) комиссия – комиссия, создаваемая уполномоченным органом в области электроэнергетики (далее – уполномоченный орган) из числа не менее 9 человек, состоящая из представителей уполномоченного органа, заинтересованных государственных органов, Национальной палаты предпринимателей Республики Казахстан и аккредитованных объединений субъектов частного предпринимательства, системного оператора, единого закупщика и организатора аукционных торгов, с целью принятия решений, связанных с организацией и проведением аукционных торгов, осуществляемых организатором аукционных торгов;</w:t>
      </w:r>
    </w:p>
    <w:bookmarkEnd w:id="15"/>
    <w:bookmarkStart w:name="z21" w:id="16"/>
    <w:p>
      <w:pPr>
        <w:spacing w:after="0"/>
        <w:ind w:left="0"/>
        <w:jc w:val="both"/>
      </w:pPr>
      <w:r>
        <w:rPr>
          <w:rFonts w:ascii="Times New Roman"/>
          <w:b w:val="false"/>
          <w:i w:val="false"/>
          <w:color w:val="000000"/>
          <w:sz w:val="28"/>
        </w:rPr>
        <w:t>
      13) финансовое обеспечение – финансовые ресурсы в виде банковской гарантии или резервного аккредитива;</w:t>
      </w:r>
    </w:p>
    <w:bookmarkEnd w:id="16"/>
    <w:bookmarkStart w:name="z22" w:id="17"/>
    <w:p>
      <w:pPr>
        <w:spacing w:after="0"/>
        <w:ind w:left="0"/>
        <w:jc w:val="both"/>
      </w:pPr>
      <w:r>
        <w:rPr>
          <w:rFonts w:ascii="Times New Roman"/>
          <w:b w:val="false"/>
          <w:i w:val="false"/>
          <w:color w:val="000000"/>
          <w:sz w:val="28"/>
        </w:rPr>
        <w:t>
      14) заявитель – юридическое лицо, планирующее участие в аукционных торгах;</w:t>
      </w:r>
    </w:p>
    <w:bookmarkEnd w:id="17"/>
    <w:bookmarkStart w:name="z23" w:id="18"/>
    <w:p>
      <w:pPr>
        <w:spacing w:after="0"/>
        <w:ind w:left="0"/>
        <w:jc w:val="both"/>
      </w:pPr>
      <w:r>
        <w:rPr>
          <w:rFonts w:ascii="Times New Roman"/>
          <w:b w:val="false"/>
          <w:i w:val="false"/>
          <w:color w:val="000000"/>
          <w:sz w:val="28"/>
        </w:rPr>
        <w:t>
      15)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18"/>
    <w:bookmarkStart w:name="z24" w:id="19"/>
    <w:p>
      <w:pPr>
        <w:spacing w:after="0"/>
        <w:ind w:left="0"/>
        <w:jc w:val="both"/>
      </w:pPr>
      <w:r>
        <w:rPr>
          <w:rFonts w:ascii="Times New Roman"/>
          <w:b w:val="false"/>
          <w:i w:val="false"/>
          <w:color w:val="000000"/>
          <w:sz w:val="28"/>
        </w:rPr>
        <w:t>
      16) торговая сессия – процесс, в течение которого осуществляется подача заявок участниками аукционных торгов, определение тарифа аукционных торгов, и формируется реестр победителей аукционных торгов;</w:t>
      </w:r>
    </w:p>
    <w:bookmarkEnd w:id="19"/>
    <w:bookmarkStart w:name="z25" w:id="20"/>
    <w:p>
      <w:pPr>
        <w:spacing w:after="0"/>
        <w:ind w:left="0"/>
        <w:jc w:val="both"/>
      </w:pPr>
      <w:r>
        <w:rPr>
          <w:rFonts w:ascii="Times New Roman"/>
          <w:b w:val="false"/>
          <w:i w:val="false"/>
          <w:color w:val="000000"/>
          <w:sz w:val="28"/>
        </w:rPr>
        <w:t xml:space="preserve">
      17) потребители, включенные в Реестр групп лиц – субъекты оптового рынка, находящиеся в Реестре групп лиц, формируемом и размещаемом на официальном интернет-ресурсе уполномоченного органа, состоящее из числа энергопроизводящих организаций и потребителей, согласно Правилам формирования и ведения Реестра групп лиц,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10 декабря 2018 года № 489 (зарегистрирован в Реестре государственной регистрации нормативных правовых актов за № 17923);</w:t>
      </w:r>
    </w:p>
    <w:bookmarkEnd w:id="20"/>
    <w:bookmarkStart w:name="z26" w:id="21"/>
    <w:p>
      <w:pPr>
        <w:spacing w:after="0"/>
        <w:ind w:left="0"/>
        <w:jc w:val="both"/>
      </w:pPr>
      <w:r>
        <w:rPr>
          <w:rFonts w:ascii="Times New Roman"/>
          <w:b w:val="false"/>
          <w:i w:val="false"/>
          <w:color w:val="000000"/>
          <w:sz w:val="28"/>
        </w:rPr>
        <w:t>
      18) уполномоченный орган – государственный орган, осуществляющий руководство в области электроэнергетики;</w:t>
      </w:r>
    </w:p>
    <w:bookmarkEnd w:id="21"/>
    <w:bookmarkStart w:name="z27" w:id="22"/>
    <w:p>
      <w:pPr>
        <w:spacing w:after="0"/>
        <w:ind w:left="0"/>
        <w:jc w:val="both"/>
      </w:pPr>
      <w:r>
        <w:rPr>
          <w:rFonts w:ascii="Times New Roman"/>
          <w:b w:val="false"/>
          <w:i w:val="false"/>
          <w:color w:val="000000"/>
          <w:sz w:val="28"/>
        </w:rPr>
        <w:t>
      19)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22"/>
    <w:bookmarkStart w:name="z28" w:id="23"/>
    <w:p>
      <w:pPr>
        <w:spacing w:after="0"/>
        <w:ind w:left="0"/>
        <w:jc w:val="both"/>
      </w:pPr>
      <w:r>
        <w:rPr>
          <w:rFonts w:ascii="Times New Roman"/>
          <w:b w:val="false"/>
          <w:i w:val="false"/>
          <w:color w:val="000000"/>
          <w:sz w:val="28"/>
        </w:rPr>
        <w:t>
      20) договор на оказание услуг по регулированию электрической мощности (далее – договор по регулированию) – договор, ежегодно заключаемый между системным оператором и победителем аукционных торгов по предоставлению услуги для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bookmarkEnd w:id="23"/>
    <w:bookmarkStart w:name="z29" w:id="24"/>
    <w:p>
      <w:pPr>
        <w:spacing w:after="0"/>
        <w:ind w:left="0"/>
        <w:jc w:val="both"/>
      </w:pPr>
      <w:r>
        <w:rPr>
          <w:rFonts w:ascii="Times New Roman"/>
          <w:b w:val="false"/>
          <w:i w:val="false"/>
          <w:color w:val="000000"/>
          <w:sz w:val="28"/>
        </w:rPr>
        <w:t>
      21) договор покупки электрической мощности – договор о покупке услуги по поддержанию готовности электрической мощности, заключаемый между единым закупщиком и победителем аукционных торгов,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w:t>
      </w:r>
    </w:p>
    <w:bookmarkEnd w:id="24"/>
    <w:bookmarkStart w:name="z30" w:id="25"/>
    <w:p>
      <w:pPr>
        <w:spacing w:after="0"/>
        <w:ind w:left="0"/>
        <w:jc w:val="both"/>
      </w:pPr>
      <w:r>
        <w:rPr>
          <w:rFonts w:ascii="Times New Roman"/>
          <w:b w:val="false"/>
          <w:i w:val="false"/>
          <w:color w:val="000000"/>
          <w:sz w:val="28"/>
        </w:rPr>
        <w:t>
      22) электронная система – комплекс организационных, технических, торговых, программных компонентов, обеспечивающих проведение аукционных торгов посредством интернета.";</w:t>
      </w:r>
    </w:p>
    <w:bookmarkEnd w:id="25"/>
    <w:bookmarkStart w:name="z31" w:id="26"/>
    <w:p>
      <w:pPr>
        <w:spacing w:after="0"/>
        <w:ind w:left="0"/>
        <w:jc w:val="both"/>
      </w:pPr>
      <w:r>
        <w:rPr>
          <w:rFonts w:ascii="Times New Roman"/>
          <w:b w:val="false"/>
          <w:i w:val="false"/>
          <w:color w:val="000000"/>
          <w:sz w:val="28"/>
        </w:rPr>
        <w:t>
      дополнить пунктом 5-1 следующего содержания:</w:t>
      </w:r>
    </w:p>
    <w:bookmarkEnd w:id="26"/>
    <w:bookmarkStart w:name="z32" w:id="27"/>
    <w:p>
      <w:pPr>
        <w:spacing w:after="0"/>
        <w:ind w:left="0"/>
        <w:jc w:val="both"/>
      </w:pPr>
      <w:r>
        <w:rPr>
          <w:rFonts w:ascii="Times New Roman"/>
          <w:b w:val="false"/>
          <w:i w:val="false"/>
          <w:color w:val="000000"/>
          <w:sz w:val="28"/>
        </w:rPr>
        <w:t>
      "5-1. При отмене результатов аукционных торгов уполномоченный орган не позднее 6 (шести) месяцев c даты их отмены обеспечивает повторное проведение аукционных торгов.</w:t>
      </w:r>
    </w:p>
    <w:bookmarkEnd w:id="27"/>
    <w:bookmarkStart w:name="z33" w:id="28"/>
    <w:p>
      <w:pPr>
        <w:spacing w:after="0"/>
        <w:ind w:left="0"/>
        <w:jc w:val="both"/>
      </w:pPr>
      <w:r>
        <w:rPr>
          <w:rFonts w:ascii="Times New Roman"/>
          <w:b w:val="false"/>
          <w:i w:val="false"/>
          <w:color w:val="000000"/>
          <w:sz w:val="28"/>
        </w:rPr>
        <w:t>
      При этом, объем услуги по поддержанию готовности электрической мощности и величина предельного аукционного тарифа, указанные в Графике, по которому проведены аукционные торги не подлежат изменению или корректировке.</w:t>
      </w:r>
    </w:p>
    <w:bookmarkEnd w:id="28"/>
    <w:bookmarkStart w:name="z34" w:id="29"/>
    <w:p>
      <w:pPr>
        <w:spacing w:after="0"/>
        <w:ind w:left="0"/>
        <w:jc w:val="both"/>
      </w:pPr>
      <w:r>
        <w:rPr>
          <w:rFonts w:ascii="Times New Roman"/>
          <w:b w:val="false"/>
          <w:i w:val="false"/>
          <w:color w:val="000000"/>
          <w:sz w:val="28"/>
        </w:rPr>
        <w:t>
      Уполномоченный орган не позднее чем за 2 (два) месяца до предполагаемой даты повторного проведения аукционных торгов публикует на своем интернет-ресурсе График.</w:t>
      </w:r>
    </w:p>
    <w:bookmarkEnd w:id="29"/>
    <w:bookmarkStart w:name="z35" w:id="30"/>
    <w:p>
      <w:pPr>
        <w:spacing w:after="0"/>
        <w:ind w:left="0"/>
        <w:jc w:val="both"/>
      </w:pPr>
      <w:r>
        <w:rPr>
          <w:rFonts w:ascii="Times New Roman"/>
          <w:b w:val="false"/>
          <w:i w:val="false"/>
          <w:color w:val="000000"/>
          <w:sz w:val="28"/>
        </w:rPr>
        <w:t>
      После дня опубликования График не подлежит изменению или корректировке.</w:t>
      </w:r>
    </w:p>
    <w:bookmarkEnd w:id="30"/>
    <w:bookmarkStart w:name="z36" w:id="31"/>
    <w:p>
      <w:pPr>
        <w:spacing w:after="0"/>
        <w:ind w:left="0"/>
        <w:jc w:val="both"/>
      </w:pPr>
      <w:r>
        <w:rPr>
          <w:rFonts w:ascii="Times New Roman"/>
          <w:b w:val="false"/>
          <w:i w:val="false"/>
          <w:color w:val="000000"/>
          <w:sz w:val="28"/>
        </w:rPr>
        <w:t>
      Основаниями для отмены результатов аукционных торгов является отсутствие заявок, поданных на снижение аукционной цены на услугу по поддержанию готовности электрической мощности.";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38" w:id="32"/>
    <w:p>
      <w:pPr>
        <w:spacing w:after="0"/>
        <w:ind w:left="0"/>
        <w:jc w:val="both"/>
      </w:pPr>
      <w:r>
        <w:rPr>
          <w:rFonts w:ascii="Times New Roman"/>
          <w:b w:val="false"/>
          <w:i w:val="false"/>
          <w:color w:val="000000"/>
          <w:sz w:val="28"/>
        </w:rPr>
        <w:t>
      "13. Документация аукционных торгов, проводимых по конкретной площадке, разрабатывается на основе соответствующего предварительного ТЭО, подготовленного единым закупщиком в соответствии с настоящими Правилами.</w:t>
      </w:r>
    </w:p>
    <w:bookmarkEnd w:id="32"/>
    <w:bookmarkStart w:name="z39" w:id="33"/>
    <w:p>
      <w:pPr>
        <w:spacing w:after="0"/>
        <w:ind w:left="0"/>
        <w:jc w:val="both"/>
      </w:pPr>
      <w:r>
        <w:rPr>
          <w:rFonts w:ascii="Times New Roman"/>
          <w:b w:val="false"/>
          <w:i w:val="false"/>
          <w:color w:val="000000"/>
          <w:sz w:val="28"/>
        </w:rPr>
        <w:t xml:space="preserve">
      При этом, победитель аукционных торгов самостоятельно определяет конфигурацию и производителя генерирующей установки с маневренным режимом генерации при условии выполнения требований,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и Графика.";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новой редакции:</w:t>
      </w:r>
    </w:p>
    <w:bookmarkStart w:name="z41" w:id="34"/>
    <w:p>
      <w:pPr>
        <w:spacing w:after="0"/>
        <w:ind w:left="0"/>
        <w:jc w:val="both"/>
      </w:pPr>
      <w:r>
        <w:rPr>
          <w:rFonts w:ascii="Times New Roman"/>
          <w:b w:val="false"/>
          <w:i w:val="false"/>
          <w:color w:val="000000"/>
          <w:sz w:val="28"/>
        </w:rPr>
        <w:t>
      "47. Заявитель для участия в аукционных торгах представляет не позднее, чем за 30 (тридцать) календарных дней до даты проведения аукционных торгов, уполномоченному органу следующие документы:</w:t>
      </w:r>
    </w:p>
    <w:bookmarkEnd w:id="34"/>
    <w:bookmarkStart w:name="z42" w:id="35"/>
    <w:p>
      <w:pPr>
        <w:spacing w:after="0"/>
        <w:ind w:left="0"/>
        <w:jc w:val="both"/>
      </w:pPr>
      <w:r>
        <w:rPr>
          <w:rFonts w:ascii="Times New Roman"/>
          <w:b w:val="false"/>
          <w:i w:val="false"/>
          <w:color w:val="000000"/>
          <w:sz w:val="28"/>
        </w:rPr>
        <w:t>
      1) копию устава;</w:t>
      </w:r>
    </w:p>
    <w:bookmarkEnd w:id="35"/>
    <w:bookmarkStart w:name="z43" w:id="36"/>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36"/>
    <w:bookmarkStart w:name="z44" w:id="37"/>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37"/>
    <w:bookmarkStart w:name="z45" w:id="38"/>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bookmarkEnd w:id="38"/>
    <w:bookmarkStart w:name="z46" w:id="39"/>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39"/>
    <w:bookmarkStart w:name="z47" w:id="40"/>
    <w:p>
      <w:pPr>
        <w:spacing w:after="0"/>
        <w:ind w:left="0"/>
        <w:jc w:val="both"/>
      </w:pPr>
      <w:r>
        <w:rPr>
          <w:rFonts w:ascii="Times New Roman"/>
          <w:b w:val="false"/>
          <w:i w:val="false"/>
          <w:color w:val="000000"/>
          <w:sz w:val="28"/>
        </w:rPr>
        <w:t>
      6) копию финансового обеспечения заявки на участие в аукционных торгах;</w:t>
      </w:r>
    </w:p>
    <w:bookmarkEnd w:id="40"/>
    <w:bookmarkStart w:name="z48" w:id="41"/>
    <w:p>
      <w:pPr>
        <w:spacing w:after="0"/>
        <w:ind w:left="0"/>
        <w:jc w:val="both"/>
      </w:pPr>
      <w:r>
        <w:rPr>
          <w:rFonts w:ascii="Times New Roman"/>
          <w:b w:val="false"/>
          <w:i w:val="false"/>
          <w:color w:val="000000"/>
          <w:sz w:val="28"/>
        </w:rPr>
        <w:t>
      7) письмо-подтверждение об ознакомлении заявителя с документацией, размещенной для заявителей на интернет-ресурсе уполномоченного органа.</w:t>
      </w:r>
    </w:p>
    <w:bookmarkEnd w:id="41"/>
    <w:bookmarkStart w:name="z49" w:id="42"/>
    <w:p>
      <w:pPr>
        <w:spacing w:after="0"/>
        <w:ind w:left="0"/>
        <w:jc w:val="both"/>
      </w:pPr>
      <w:r>
        <w:rPr>
          <w:rFonts w:ascii="Times New Roman"/>
          <w:b w:val="false"/>
          <w:i w:val="false"/>
          <w:color w:val="000000"/>
          <w:sz w:val="28"/>
        </w:rPr>
        <w:t>
      Документы, указанные в настоящем пункте, представляются заявителем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bookmarkEnd w:id="42"/>
    <w:bookmarkStart w:name="z50" w:id="43"/>
    <w:p>
      <w:pPr>
        <w:spacing w:after="0"/>
        <w:ind w:left="0"/>
        <w:jc w:val="both"/>
      </w:pPr>
      <w:r>
        <w:rPr>
          <w:rFonts w:ascii="Times New Roman"/>
          <w:b w:val="false"/>
          <w:i w:val="false"/>
          <w:color w:val="000000"/>
          <w:sz w:val="28"/>
        </w:rPr>
        <w:t>
      При этом, оригинал финансового обеспечения заявки на участие в аукционных торгах прикладывается заявителем отдельно от документов, указанных в части первой настоящего пункта Правил.</w:t>
      </w:r>
    </w:p>
    <w:bookmarkEnd w:id="43"/>
    <w:bookmarkStart w:name="z51" w:id="44"/>
    <w:p>
      <w:pPr>
        <w:spacing w:after="0"/>
        <w:ind w:left="0"/>
        <w:jc w:val="both"/>
      </w:pPr>
      <w:r>
        <w:rPr>
          <w:rFonts w:ascii="Times New Roman"/>
          <w:b w:val="false"/>
          <w:i w:val="false"/>
          <w:color w:val="000000"/>
          <w:sz w:val="28"/>
        </w:rPr>
        <w:t>
      Данный конверт с документами уполномоченный орган в тот же день передает на рассмотрение комиссии.</w:t>
      </w:r>
    </w:p>
    <w:bookmarkEnd w:id="44"/>
    <w:bookmarkStart w:name="z52" w:id="45"/>
    <w:p>
      <w:pPr>
        <w:spacing w:after="0"/>
        <w:ind w:left="0"/>
        <w:jc w:val="both"/>
      </w:pPr>
      <w:r>
        <w:rPr>
          <w:rFonts w:ascii="Times New Roman"/>
          <w:b w:val="false"/>
          <w:i w:val="false"/>
          <w:color w:val="000000"/>
          <w:sz w:val="28"/>
        </w:rPr>
        <w:t xml:space="preserve">
      Вместе с документами, указанными в части первой настоящего пункта, заявитель также вносит в уполномоченный орган документ (договор, соглашение, меморандум) о намерении (оригинал документа), заключенный с одним или несколькими производителями генерирующих установок с маневренным режимом генерации, в рамках которого отражается готовность данного производителя, при победе заявителя на аукционных торгах, реализовать соответствующий проект и (или) изготовить и поставить генерирующее оборудование для соответствующего проекта по строительству вновь вводимых в эксплуатацию генерирующих установок с маневренным режимом генерации, которые обеспечат заявителю, как победителю аукционных торгов, возможность оказывать услугу по поддержанию готовности электрической мощности единому закупщику, согласно соответствующему договору покупки электрической мощности, заключаемому по итогам аукционных торгов, а также будут соответствовать техническим, технологическим и эксплуатационным требованиям,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с учетом результатов соответствующего предварительного ТЭО, в том числе по требуемому диапазону регулирования.</w:t>
      </w:r>
    </w:p>
    <w:bookmarkEnd w:id="45"/>
    <w:bookmarkStart w:name="z53" w:id="46"/>
    <w:p>
      <w:pPr>
        <w:spacing w:after="0"/>
        <w:ind w:left="0"/>
        <w:jc w:val="both"/>
      </w:pPr>
      <w:r>
        <w:rPr>
          <w:rFonts w:ascii="Times New Roman"/>
          <w:b w:val="false"/>
          <w:i w:val="false"/>
          <w:color w:val="000000"/>
          <w:sz w:val="28"/>
        </w:rPr>
        <w:t>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w:t>
      </w:r>
    </w:p>
    <w:bookmarkEnd w:id="46"/>
    <w:bookmarkStart w:name="z54" w:id="47"/>
    <w:p>
      <w:pPr>
        <w:spacing w:after="0"/>
        <w:ind w:left="0"/>
        <w:jc w:val="both"/>
      </w:pPr>
      <w:r>
        <w:rPr>
          <w:rFonts w:ascii="Times New Roman"/>
          <w:b w:val="false"/>
          <w:i w:val="false"/>
          <w:color w:val="000000"/>
          <w:sz w:val="28"/>
        </w:rPr>
        <w:t xml:space="preserve">
      Проверка документов, представленных заявителями, допуск заявителей к регистрации в электронной системе организатора аукционных торгов, их регистрация в электронной системе организатора аукционных торгов и присвоение им статуса участника соответствующих аукционных торгов осуществляются согласно </w:t>
      </w:r>
      <w:r>
        <w:rPr>
          <w:rFonts w:ascii="Times New Roman"/>
          <w:b w:val="false"/>
          <w:i w:val="false"/>
          <w:color w:val="000000"/>
          <w:sz w:val="28"/>
        </w:rPr>
        <w:t>пунктам 33</w:t>
      </w:r>
      <w:r>
        <w:rPr>
          <w:rFonts w:ascii="Times New Roman"/>
          <w:b w:val="false"/>
          <w:i w:val="false"/>
          <w:color w:val="000000"/>
          <w:sz w:val="28"/>
        </w:rPr>
        <w:t xml:space="preserve"> - </w:t>
      </w:r>
      <w:r>
        <w:rPr>
          <w:rFonts w:ascii="Times New Roman"/>
          <w:b w:val="false"/>
          <w:i w:val="false"/>
          <w:color w:val="000000"/>
          <w:sz w:val="28"/>
        </w:rPr>
        <w:t>39</w:t>
      </w:r>
      <w:r>
        <w:rPr>
          <w:rFonts w:ascii="Times New Roman"/>
          <w:b w:val="false"/>
          <w:i w:val="false"/>
          <w:color w:val="000000"/>
          <w:sz w:val="28"/>
        </w:rPr>
        <w:t xml:space="preserve"> настоящих Правил.</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новой редакции:</w:t>
      </w:r>
    </w:p>
    <w:bookmarkStart w:name="z56" w:id="48"/>
    <w:p>
      <w:pPr>
        <w:spacing w:after="0"/>
        <w:ind w:left="0"/>
        <w:jc w:val="both"/>
      </w:pPr>
      <w:r>
        <w:rPr>
          <w:rFonts w:ascii="Times New Roman"/>
          <w:b w:val="false"/>
          <w:i w:val="false"/>
          <w:color w:val="000000"/>
          <w:sz w:val="28"/>
        </w:rPr>
        <w:t>
      "50. Заявитель для участия в аукционных торгах представляет не позднее чем за 30 (тридцать) календарных дней до проведения аукционных торгов уполномоченному органу следующие документы:</w:t>
      </w:r>
    </w:p>
    <w:bookmarkEnd w:id="48"/>
    <w:bookmarkStart w:name="z57" w:id="49"/>
    <w:p>
      <w:pPr>
        <w:spacing w:after="0"/>
        <w:ind w:left="0"/>
        <w:jc w:val="both"/>
      </w:pPr>
      <w:r>
        <w:rPr>
          <w:rFonts w:ascii="Times New Roman"/>
          <w:b w:val="false"/>
          <w:i w:val="false"/>
          <w:color w:val="000000"/>
          <w:sz w:val="28"/>
        </w:rPr>
        <w:t>
      1) копию устава;</w:t>
      </w:r>
    </w:p>
    <w:bookmarkEnd w:id="49"/>
    <w:bookmarkStart w:name="z58" w:id="50"/>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50"/>
    <w:bookmarkStart w:name="z59" w:id="51"/>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51"/>
    <w:bookmarkStart w:name="z60" w:id="52"/>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bookmarkEnd w:id="52"/>
    <w:bookmarkStart w:name="z61" w:id="53"/>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53"/>
    <w:bookmarkStart w:name="z62" w:id="54"/>
    <w:p>
      <w:pPr>
        <w:spacing w:after="0"/>
        <w:ind w:left="0"/>
        <w:jc w:val="both"/>
      </w:pPr>
      <w:r>
        <w:rPr>
          <w:rFonts w:ascii="Times New Roman"/>
          <w:b w:val="false"/>
          <w:i w:val="false"/>
          <w:color w:val="000000"/>
          <w:sz w:val="28"/>
        </w:rPr>
        <w:t>
      6) копию финансового обеспечения заявки на участие в аукционных торгах;</w:t>
      </w:r>
    </w:p>
    <w:bookmarkEnd w:id="54"/>
    <w:bookmarkStart w:name="z63" w:id="55"/>
    <w:p>
      <w:pPr>
        <w:spacing w:after="0"/>
        <w:ind w:left="0"/>
        <w:jc w:val="both"/>
      </w:pPr>
      <w:r>
        <w:rPr>
          <w:rFonts w:ascii="Times New Roman"/>
          <w:b w:val="false"/>
          <w:i w:val="false"/>
          <w:color w:val="000000"/>
          <w:sz w:val="28"/>
        </w:rPr>
        <w:t>
      7) письмо-подтверждение об ознакомлении заявителя с документацией, размещенной для заявителей на интернет-ресурсе уполномоченного органа.</w:t>
      </w:r>
    </w:p>
    <w:bookmarkEnd w:id="55"/>
    <w:bookmarkStart w:name="z64" w:id="56"/>
    <w:p>
      <w:pPr>
        <w:spacing w:after="0"/>
        <w:ind w:left="0"/>
        <w:jc w:val="both"/>
      </w:pPr>
      <w:r>
        <w:rPr>
          <w:rFonts w:ascii="Times New Roman"/>
          <w:b w:val="false"/>
          <w:i w:val="false"/>
          <w:color w:val="000000"/>
          <w:sz w:val="28"/>
        </w:rPr>
        <w:t>
      Документы, указанные в настоящем пункте, представляются заявителем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bookmarkEnd w:id="56"/>
    <w:bookmarkStart w:name="z65" w:id="57"/>
    <w:p>
      <w:pPr>
        <w:spacing w:after="0"/>
        <w:ind w:left="0"/>
        <w:jc w:val="both"/>
      </w:pPr>
      <w:r>
        <w:rPr>
          <w:rFonts w:ascii="Times New Roman"/>
          <w:b w:val="false"/>
          <w:i w:val="false"/>
          <w:color w:val="000000"/>
          <w:sz w:val="28"/>
        </w:rPr>
        <w:t>
      При этом, оригинал финансового обеспечения заявки на участие в аукционных торгах прикладывается заявителем отдельно от документов, указанных в части первой настоящего пункта Правил. Данный конверт с документами уполномоченный орган в тот же день передает на рассмотрение комиссии.</w:t>
      </w:r>
    </w:p>
    <w:bookmarkEnd w:id="57"/>
    <w:bookmarkStart w:name="z66" w:id="58"/>
    <w:p>
      <w:pPr>
        <w:spacing w:after="0"/>
        <w:ind w:left="0"/>
        <w:jc w:val="both"/>
      </w:pPr>
      <w:r>
        <w:rPr>
          <w:rFonts w:ascii="Times New Roman"/>
          <w:b w:val="false"/>
          <w:i w:val="false"/>
          <w:color w:val="000000"/>
          <w:sz w:val="28"/>
        </w:rPr>
        <w:t>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w:t>
      </w:r>
    </w:p>
    <w:bookmarkEnd w:id="58"/>
    <w:bookmarkStart w:name="z67" w:id="59"/>
    <w:p>
      <w:pPr>
        <w:spacing w:after="0"/>
        <w:ind w:left="0"/>
        <w:jc w:val="both"/>
      </w:pPr>
      <w:r>
        <w:rPr>
          <w:rFonts w:ascii="Times New Roman"/>
          <w:b w:val="false"/>
          <w:i w:val="false"/>
          <w:color w:val="000000"/>
          <w:sz w:val="28"/>
        </w:rPr>
        <w:t>
      Проверка документов, представленных заявителями, допуск заявителей к регистрации в электронной системе организатора аукционных торгов, их регистрация в электронной системе организатора аукционных торгов и присвоение им статуса участника соответствующих аукционных торгов осуществляются согласно пунктам 33-39 настоящих Правил.";</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новой редакции:</w:t>
      </w:r>
    </w:p>
    <w:bookmarkStart w:name="z69" w:id="60"/>
    <w:p>
      <w:pPr>
        <w:spacing w:after="0"/>
        <w:ind w:left="0"/>
        <w:jc w:val="both"/>
      </w:pPr>
      <w:r>
        <w:rPr>
          <w:rFonts w:ascii="Times New Roman"/>
          <w:b w:val="false"/>
          <w:i w:val="false"/>
          <w:color w:val="000000"/>
          <w:sz w:val="28"/>
        </w:rPr>
        <w:t>
      "54. Заявитель для участия в аукционных торгах представляет не позднее чем за 30 (тридцать) календарных дней до проведения аукционных торгов уполномоченному органу следующие документы:</w:t>
      </w:r>
    </w:p>
    <w:bookmarkEnd w:id="60"/>
    <w:bookmarkStart w:name="z70" w:id="61"/>
    <w:p>
      <w:pPr>
        <w:spacing w:after="0"/>
        <w:ind w:left="0"/>
        <w:jc w:val="both"/>
      </w:pPr>
      <w:r>
        <w:rPr>
          <w:rFonts w:ascii="Times New Roman"/>
          <w:b w:val="false"/>
          <w:i w:val="false"/>
          <w:color w:val="000000"/>
          <w:sz w:val="28"/>
        </w:rPr>
        <w:t>
      1) копию устава;</w:t>
      </w:r>
    </w:p>
    <w:bookmarkEnd w:id="61"/>
    <w:bookmarkStart w:name="z71" w:id="62"/>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62"/>
    <w:bookmarkStart w:name="z72" w:id="63"/>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63"/>
    <w:bookmarkStart w:name="z73" w:id="64"/>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bookmarkEnd w:id="64"/>
    <w:bookmarkStart w:name="z74" w:id="65"/>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65"/>
    <w:bookmarkStart w:name="z75" w:id="66"/>
    <w:p>
      <w:pPr>
        <w:spacing w:after="0"/>
        <w:ind w:left="0"/>
        <w:jc w:val="both"/>
      </w:pPr>
      <w:r>
        <w:rPr>
          <w:rFonts w:ascii="Times New Roman"/>
          <w:b w:val="false"/>
          <w:i w:val="false"/>
          <w:color w:val="000000"/>
          <w:sz w:val="28"/>
        </w:rPr>
        <w:t>
      6) финансовое обеспечение заявки на участие в аукционных торгах (оригинал документа);</w:t>
      </w:r>
    </w:p>
    <w:bookmarkEnd w:id="66"/>
    <w:bookmarkStart w:name="z76" w:id="67"/>
    <w:p>
      <w:pPr>
        <w:spacing w:after="0"/>
        <w:ind w:left="0"/>
        <w:jc w:val="both"/>
      </w:pPr>
      <w:r>
        <w:rPr>
          <w:rFonts w:ascii="Times New Roman"/>
          <w:b w:val="false"/>
          <w:i w:val="false"/>
          <w:color w:val="000000"/>
          <w:sz w:val="28"/>
        </w:rPr>
        <w:t>
      7) письмо-подтверждение об ознакомлении заявителя с документацией, размещенной для заявителей в аукционных торгах на интернет-ресурсе уполномоченного органа;</w:t>
      </w:r>
    </w:p>
    <w:bookmarkEnd w:id="67"/>
    <w:bookmarkStart w:name="z77" w:id="68"/>
    <w:p>
      <w:pPr>
        <w:spacing w:after="0"/>
        <w:ind w:left="0"/>
        <w:jc w:val="both"/>
      </w:pPr>
      <w:r>
        <w:rPr>
          <w:rFonts w:ascii="Times New Roman"/>
          <w:b w:val="false"/>
          <w:i w:val="false"/>
          <w:color w:val="000000"/>
          <w:sz w:val="28"/>
        </w:rPr>
        <w:t>
      8) копии правоустанавливающих документов на земельный участок в соответствии с Земельным кодексом Республики Казахстан;</w:t>
      </w:r>
    </w:p>
    <w:bookmarkEnd w:id="68"/>
    <w:bookmarkStart w:name="z78" w:id="69"/>
    <w:p>
      <w:pPr>
        <w:spacing w:after="0"/>
        <w:ind w:left="0"/>
        <w:jc w:val="both"/>
      </w:pPr>
      <w:r>
        <w:rPr>
          <w:rFonts w:ascii="Times New Roman"/>
          <w:b w:val="false"/>
          <w:i w:val="false"/>
          <w:color w:val="000000"/>
          <w:sz w:val="28"/>
        </w:rPr>
        <w:t>
      9) точка подключения к электрическим сетям с предоставлением копии предварительных технических условий на подключение к электрической сети.</w:t>
      </w:r>
    </w:p>
    <w:bookmarkEnd w:id="69"/>
    <w:bookmarkStart w:name="z79" w:id="70"/>
    <w:p>
      <w:pPr>
        <w:spacing w:after="0"/>
        <w:ind w:left="0"/>
        <w:jc w:val="both"/>
      </w:pPr>
      <w:r>
        <w:rPr>
          <w:rFonts w:ascii="Times New Roman"/>
          <w:b w:val="false"/>
          <w:i w:val="false"/>
          <w:color w:val="000000"/>
          <w:sz w:val="28"/>
        </w:rPr>
        <w:t>
      Документы, указанные в настоящем пункте, представляются заявителем</w:t>
      </w:r>
    </w:p>
    <w:bookmarkEnd w:id="70"/>
    <w:bookmarkStart w:name="z80" w:id="71"/>
    <w:p>
      <w:pPr>
        <w:spacing w:after="0"/>
        <w:ind w:left="0"/>
        <w:jc w:val="both"/>
      </w:pPr>
      <w:r>
        <w:rPr>
          <w:rFonts w:ascii="Times New Roman"/>
          <w:b w:val="false"/>
          <w:i w:val="false"/>
          <w:color w:val="000000"/>
          <w:sz w:val="28"/>
        </w:rPr>
        <w:t>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bookmarkEnd w:id="71"/>
    <w:bookmarkStart w:name="z81" w:id="72"/>
    <w:p>
      <w:pPr>
        <w:spacing w:after="0"/>
        <w:ind w:left="0"/>
        <w:jc w:val="both"/>
      </w:pPr>
      <w:r>
        <w:rPr>
          <w:rFonts w:ascii="Times New Roman"/>
          <w:b w:val="false"/>
          <w:i w:val="false"/>
          <w:color w:val="000000"/>
          <w:sz w:val="28"/>
        </w:rPr>
        <w:t>
      При этом, оригинал документа, подтверждающего финансовое обеспечение заявки на участие в аукционных торгах, прикладывается заявителем отдельно от документов, указанных в настоящем пункте Правил.</w:t>
      </w:r>
    </w:p>
    <w:bookmarkEnd w:id="72"/>
    <w:bookmarkStart w:name="z82" w:id="73"/>
    <w:p>
      <w:pPr>
        <w:spacing w:after="0"/>
        <w:ind w:left="0"/>
        <w:jc w:val="both"/>
      </w:pPr>
      <w:r>
        <w:rPr>
          <w:rFonts w:ascii="Times New Roman"/>
          <w:b w:val="false"/>
          <w:i w:val="false"/>
          <w:color w:val="000000"/>
          <w:sz w:val="28"/>
        </w:rPr>
        <w:t>
      Данный конверт с документами уполномоченный орган в тот же день передает на рассмотрение в Комиссию.</w:t>
      </w:r>
    </w:p>
    <w:bookmarkEnd w:id="73"/>
    <w:bookmarkStart w:name="z83" w:id="74"/>
    <w:p>
      <w:pPr>
        <w:spacing w:after="0"/>
        <w:ind w:left="0"/>
        <w:jc w:val="both"/>
      </w:pPr>
      <w:r>
        <w:rPr>
          <w:rFonts w:ascii="Times New Roman"/>
          <w:b w:val="false"/>
          <w:i w:val="false"/>
          <w:color w:val="000000"/>
          <w:sz w:val="28"/>
        </w:rPr>
        <w:t>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новой редакции:</w:t>
      </w:r>
    </w:p>
    <w:bookmarkStart w:name="z85" w:id="75"/>
    <w:p>
      <w:pPr>
        <w:spacing w:after="0"/>
        <w:ind w:left="0"/>
        <w:jc w:val="both"/>
      </w:pPr>
      <w:r>
        <w:rPr>
          <w:rFonts w:ascii="Times New Roman"/>
          <w:b w:val="false"/>
          <w:i w:val="false"/>
          <w:color w:val="000000"/>
          <w:sz w:val="28"/>
        </w:rPr>
        <w:t>
      "61. В заявке на участие в аукционных торгах участника содержатся следующие основные сведения:</w:t>
      </w:r>
    </w:p>
    <w:bookmarkEnd w:id="75"/>
    <w:bookmarkStart w:name="z86" w:id="76"/>
    <w:p>
      <w:pPr>
        <w:spacing w:after="0"/>
        <w:ind w:left="0"/>
        <w:jc w:val="both"/>
      </w:pPr>
      <w:r>
        <w:rPr>
          <w:rFonts w:ascii="Times New Roman"/>
          <w:b w:val="false"/>
          <w:i w:val="false"/>
          <w:color w:val="000000"/>
          <w:sz w:val="28"/>
        </w:rPr>
        <w:t>
      1) наименование участника;</w:t>
      </w:r>
    </w:p>
    <w:bookmarkEnd w:id="76"/>
    <w:bookmarkStart w:name="z87" w:id="77"/>
    <w:p>
      <w:pPr>
        <w:spacing w:after="0"/>
        <w:ind w:left="0"/>
        <w:jc w:val="both"/>
      </w:pPr>
      <w:r>
        <w:rPr>
          <w:rFonts w:ascii="Times New Roman"/>
          <w:b w:val="false"/>
          <w:i w:val="false"/>
          <w:color w:val="000000"/>
          <w:sz w:val="28"/>
        </w:rPr>
        <w:t>
      2) аукционная цена на услугу по поддержанию готовности электрической мощности, указанная в национальной валюте Республики Казахстан без учета налога на добавленную стоимость;</w:t>
      </w:r>
    </w:p>
    <w:bookmarkEnd w:id="77"/>
    <w:bookmarkStart w:name="z88" w:id="78"/>
    <w:p>
      <w:pPr>
        <w:spacing w:after="0"/>
        <w:ind w:left="0"/>
        <w:jc w:val="both"/>
      </w:pPr>
      <w:r>
        <w:rPr>
          <w:rFonts w:ascii="Times New Roman"/>
          <w:b w:val="false"/>
          <w:i w:val="false"/>
          <w:color w:val="000000"/>
          <w:sz w:val="28"/>
        </w:rPr>
        <w:t>
      3) объем услуги по поддержанию готовности электрической мощности, не превышающий соответствующего объема услуги по поддержания готовности электрической мощности, указанного в Графике для данных аукционных торгов (далее – объем отбора), в МВт (отражается округленным до целых), по значению равный или превышающий 50 (пятьдесят) МВт;</w:t>
      </w:r>
    </w:p>
    <w:bookmarkEnd w:id="78"/>
    <w:bookmarkStart w:name="z89" w:id="79"/>
    <w:p>
      <w:pPr>
        <w:spacing w:after="0"/>
        <w:ind w:left="0"/>
        <w:jc w:val="both"/>
      </w:pPr>
      <w:r>
        <w:rPr>
          <w:rFonts w:ascii="Times New Roman"/>
          <w:b w:val="false"/>
          <w:i w:val="false"/>
          <w:color w:val="000000"/>
          <w:sz w:val="28"/>
        </w:rPr>
        <w:t>
      подпункт 3) настоящего пункта применяется только для Второго и Третьего видов аукционных торгов.";</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новой редакции:</w:t>
      </w:r>
    </w:p>
    <w:bookmarkStart w:name="z91" w:id="80"/>
    <w:p>
      <w:pPr>
        <w:spacing w:after="0"/>
        <w:ind w:left="0"/>
        <w:jc w:val="both"/>
      </w:pPr>
      <w:r>
        <w:rPr>
          <w:rFonts w:ascii="Times New Roman"/>
          <w:b w:val="false"/>
          <w:i w:val="false"/>
          <w:color w:val="000000"/>
          <w:sz w:val="28"/>
        </w:rPr>
        <w:t>
      "86. Аукционные торги проводятся при условии, что количество участников данных торгов составляет не менее двух участников и суммарный объем услуги по поддержанию готовности электрической мощности заявок на участие в аукционных торгах на продажу не менее 130% объема отбора.</w:t>
      </w:r>
    </w:p>
    <w:bookmarkEnd w:id="80"/>
    <w:bookmarkStart w:name="z92" w:id="81"/>
    <w:p>
      <w:pPr>
        <w:spacing w:after="0"/>
        <w:ind w:left="0"/>
        <w:jc w:val="both"/>
      </w:pPr>
      <w:r>
        <w:rPr>
          <w:rFonts w:ascii="Times New Roman"/>
          <w:b w:val="false"/>
          <w:i w:val="false"/>
          <w:color w:val="000000"/>
          <w:sz w:val="28"/>
        </w:rPr>
        <w:t>
      При невыполнении условия, указанного в части первой настоящего пункта, организатор аукционных торгов закрывает соответствующие аукционные торги по истечении времени закрытия торговой сессии и объявляет торги несостоявшимися.";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новой редакции:</w:t>
      </w:r>
    </w:p>
    <w:bookmarkStart w:name="z94" w:id="82"/>
    <w:p>
      <w:pPr>
        <w:spacing w:after="0"/>
        <w:ind w:left="0"/>
        <w:jc w:val="both"/>
      </w:pPr>
      <w:r>
        <w:rPr>
          <w:rFonts w:ascii="Times New Roman"/>
          <w:b w:val="false"/>
          <w:i w:val="false"/>
          <w:color w:val="000000"/>
          <w:sz w:val="28"/>
        </w:rPr>
        <w:t xml:space="preserve">
      "93. Победитель аукционных торгов в течение 30 (тридцати) календарных дней со дня получения проекта договора покупки электрической мощности подписывает указанный договор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 на срок равный 15 (пятнадцати) годам отсчет которого начинается с первого числа месяца следующего после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w:t>
      </w:r>
    </w:p>
    <w:bookmarkEnd w:id="82"/>
    <w:bookmarkStart w:name="z95" w:id="83"/>
    <w:p>
      <w:pPr>
        <w:spacing w:after="0"/>
        <w:ind w:left="0"/>
        <w:jc w:val="both"/>
      </w:pPr>
      <w:r>
        <w:rPr>
          <w:rFonts w:ascii="Times New Roman"/>
          <w:b w:val="false"/>
          <w:i w:val="false"/>
          <w:color w:val="000000"/>
          <w:sz w:val="28"/>
        </w:rPr>
        <w:t xml:space="preserve">
      При прохождении первой аттестации генерирующих установок с маневренным режимом генерации до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 началом покупки услуги по поддержанию готовности электрической мощности является первое число месяца, следующего после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w:t>
      </w:r>
    </w:p>
    <w:bookmarkEnd w:id="83"/>
    <w:bookmarkStart w:name="z96" w:id="84"/>
    <w:p>
      <w:pPr>
        <w:spacing w:after="0"/>
        <w:ind w:left="0"/>
        <w:jc w:val="both"/>
      </w:pPr>
      <w:r>
        <w:rPr>
          <w:rFonts w:ascii="Times New Roman"/>
          <w:b w:val="false"/>
          <w:i w:val="false"/>
          <w:color w:val="000000"/>
          <w:sz w:val="28"/>
        </w:rPr>
        <w:t xml:space="preserve">
      При прохождении первой аттестации генерирующих установок с маневренным режимом генерации после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 началом покупки услуги по поддержанию готовности электрической мощности является первое число месяца, следующего за месяцем, в котором победитель аукционных торгов прошел первую аттестацию.</w:t>
      </w:r>
    </w:p>
    <w:bookmarkEnd w:id="84"/>
    <w:bookmarkStart w:name="z97" w:id="85"/>
    <w:p>
      <w:pPr>
        <w:spacing w:after="0"/>
        <w:ind w:left="0"/>
        <w:jc w:val="both"/>
      </w:pPr>
      <w:r>
        <w:rPr>
          <w:rFonts w:ascii="Times New Roman"/>
          <w:b w:val="false"/>
          <w:i w:val="false"/>
          <w:color w:val="000000"/>
          <w:sz w:val="28"/>
        </w:rPr>
        <w:t>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победителя аукционных торгов, предусмотренный частью первой настоящего пункта, не подлежат корректировке в сторону увеличения.";</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новой редакции:</w:t>
      </w:r>
    </w:p>
    <w:bookmarkStart w:name="z99" w:id="86"/>
    <w:p>
      <w:pPr>
        <w:spacing w:after="0"/>
        <w:ind w:left="0"/>
        <w:jc w:val="both"/>
      </w:pPr>
      <w:r>
        <w:rPr>
          <w:rFonts w:ascii="Times New Roman"/>
          <w:b w:val="false"/>
          <w:i w:val="false"/>
          <w:color w:val="000000"/>
          <w:sz w:val="28"/>
        </w:rPr>
        <w:t>
      "96. Необходимый объем финансового обеспечения исполнения условий договора покупки электрической мощности, указываемый в Графике, определяется как произведение удельного значения финансового обеспечения исполнения условий договора покупки электрической мощности (в тенге/МВт) и объема услуги по поддержанию готовности электрической мощности (в МВт), указанного в Графике.</w:t>
      </w:r>
    </w:p>
    <w:bookmarkEnd w:id="86"/>
    <w:bookmarkStart w:name="z100" w:id="87"/>
    <w:p>
      <w:pPr>
        <w:spacing w:after="0"/>
        <w:ind w:left="0"/>
        <w:jc w:val="both"/>
      </w:pPr>
      <w:r>
        <w:rPr>
          <w:rFonts w:ascii="Times New Roman"/>
          <w:b w:val="false"/>
          <w:i w:val="false"/>
          <w:color w:val="000000"/>
          <w:sz w:val="28"/>
        </w:rPr>
        <w:t>
      Удельное значение финансового обеспечения исполнения условий договора покупки электрической мощности составляет 1 000 000 (один миллионов) тенге/МВт.";</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w:t>
      </w:r>
      <w:r>
        <w:rPr>
          <w:rFonts w:ascii="Times New Roman"/>
          <w:b w:val="false"/>
          <w:i w:val="false"/>
          <w:color w:val="000000"/>
          <w:sz w:val="28"/>
        </w:rPr>
        <w:t xml:space="preserve"> изложить в новой редакции:</w:t>
      </w:r>
    </w:p>
    <w:bookmarkStart w:name="z102" w:id="88"/>
    <w:p>
      <w:pPr>
        <w:spacing w:after="0"/>
        <w:ind w:left="0"/>
        <w:jc w:val="both"/>
      </w:pPr>
      <w:r>
        <w:rPr>
          <w:rFonts w:ascii="Times New Roman"/>
          <w:b w:val="false"/>
          <w:i w:val="false"/>
          <w:color w:val="000000"/>
          <w:sz w:val="28"/>
        </w:rPr>
        <w:t xml:space="preserve">
      "103. Договор покупки электрической мощности оформляется в соответствии с типовым договором о покупке услуги по поддержанию готовности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683 (зарегистрирован в Реестре государственной регистрации нормативных правовых актов за № 12522), с учетом подпунктов 1), 7), 8), 13), 15), 20), 21)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пунктов 73</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настоящих Правил.";</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04" w:id="89"/>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обеспечить:</w:t>
      </w:r>
    </w:p>
    <w:bookmarkEnd w:id="89"/>
    <w:bookmarkStart w:name="z105" w:id="9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0"/>
    <w:bookmarkStart w:name="z106" w:id="91"/>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91"/>
    <w:bookmarkStart w:name="z107" w:id="9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92"/>
    <w:bookmarkStart w:name="z108" w:id="9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93"/>
    <w:bookmarkStart w:name="z109" w:id="9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2022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аукционных торгов на строительство</w:t>
            </w:r>
            <w:r>
              <w:br/>
            </w:r>
            <w:r>
              <w:rPr>
                <w:rFonts w:ascii="Times New Roman"/>
                <w:b w:val="false"/>
                <w:i w:val="false"/>
                <w:color w:val="000000"/>
                <w:sz w:val="20"/>
              </w:rPr>
              <w:t>вновь 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 генерации</w:t>
            </w:r>
          </w:p>
        </w:tc>
      </w:tr>
    </w:tbl>
    <w:bookmarkStart w:name="z113" w:id="95"/>
    <w:p>
      <w:pPr>
        <w:spacing w:after="0"/>
        <w:ind w:left="0"/>
        <w:jc w:val="left"/>
      </w:pPr>
      <w:r>
        <w:rPr>
          <w:rFonts w:ascii="Times New Roman"/>
          <w:b/>
          <w:i w:val="false"/>
          <w:color w:val="000000"/>
        </w:rPr>
        <w:t xml:space="preserve"> Технические, технологические и эксплуатационные требования, предъявляемые к вновь вводимым в эксплуатацию генерирующим установкам с маневренным режимом генерации и диапазон регулирования (далее – Требования)</w:t>
      </w:r>
    </w:p>
    <w:bookmarkEnd w:id="95"/>
    <w:bookmarkStart w:name="z114" w:id="96"/>
    <w:p>
      <w:pPr>
        <w:spacing w:after="0"/>
        <w:ind w:left="0"/>
        <w:jc w:val="both"/>
      </w:pPr>
      <w:r>
        <w:rPr>
          <w:rFonts w:ascii="Times New Roman"/>
          <w:b w:val="false"/>
          <w:i w:val="false"/>
          <w:color w:val="000000"/>
          <w:sz w:val="28"/>
        </w:rPr>
        <w:t>
      1. Располагаемый объем регулировочной электрической мощности электрических станций Республики Казахстан, задействованный во вторичном регулировании частоты и перетоков мощности обеспечивает:</w:t>
      </w:r>
    </w:p>
    <w:bookmarkEnd w:id="96"/>
    <w:bookmarkStart w:name="z115" w:id="97"/>
    <w:p>
      <w:pPr>
        <w:spacing w:after="0"/>
        <w:ind w:left="0"/>
        <w:jc w:val="both"/>
      </w:pPr>
      <w:r>
        <w:rPr>
          <w:rFonts w:ascii="Times New Roman"/>
          <w:b w:val="false"/>
          <w:i w:val="false"/>
          <w:color w:val="000000"/>
          <w:sz w:val="28"/>
        </w:rPr>
        <w:t xml:space="preserve">
      1) при изолированной работе ЕЭС РК – поддержание стандартной частоты ЕЭС РК,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97"/>
    <w:bookmarkStart w:name="z116" w:id="98"/>
    <w:p>
      <w:pPr>
        <w:spacing w:after="0"/>
        <w:ind w:left="0"/>
        <w:jc w:val="both"/>
      </w:pPr>
      <w:r>
        <w:rPr>
          <w:rFonts w:ascii="Times New Roman"/>
          <w:b w:val="false"/>
          <w:i w:val="false"/>
          <w:color w:val="000000"/>
          <w:sz w:val="28"/>
        </w:rPr>
        <w:t>
      2) при параллельной работе ЕЭС РК с ЕЭС России – поддержание задаваемых национальным диспетчерским центром системного оператора Казахстана суммарных перетоков мощности (сальдо перетоков мощности) по внешним связям с коррекцией по частоте;</w:t>
      </w:r>
    </w:p>
    <w:bookmarkEnd w:id="98"/>
    <w:bookmarkStart w:name="z117" w:id="99"/>
    <w:p>
      <w:pPr>
        <w:spacing w:after="0"/>
        <w:ind w:left="0"/>
        <w:jc w:val="both"/>
      </w:pPr>
      <w:r>
        <w:rPr>
          <w:rFonts w:ascii="Times New Roman"/>
          <w:b w:val="false"/>
          <w:i w:val="false"/>
          <w:color w:val="000000"/>
          <w:sz w:val="28"/>
        </w:rPr>
        <w:t>
      3) ограничение перетоков мощности по условиям устойчивости работы энергосистемы, допустимой токовой нагрузки проводов линий электропередачи, электротехнического оборудования подстанций;</w:t>
      </w:r>
    </w:p>
    <w:bookmarkEnd w:id="99"/>
    <w:bookmarkStart w:name="z118" w:id="100"/>
    <w:p>
      <w:pPr>
        <w:spacing w:after="0"/>
        <w:ind w:left="0"/>
        <w:jc w:val="both"/>
      </w:pPr>
      <w:r>
        <w:rPr>
          <w:rFonts w:ascii="Times New Roman"/>
          <w:b w:val="false"/>
          <w:i w:val="false"/>
          <w:color w:val="000000"/>
          <w:sz w:val="28"/>
        </w:rPr>
        <w:t>
      4) располагаемый объем регулировочной электрической мощности обеспечивает полную компенсацию нерегулярных колебаний не баланса мощности, погрешностей регулирования баланса мощности в часы переменной части графика нагрузки, а также наиболее вероятной аварийной потери генерации или потребления, но не ниже мощности самого крупного агрегата или отклонения до 8 % текущего потребления ЕЭС РК.</w:t>
      </w:r>
    </w:p>
    <w:bookmarkEnd w:id="100"/>
    <w:bookmarkStart w:name="z119" w:id="101"/>
    <w:p>
      <w:pPr>
        <w:spacing w:after="0"/>
        <w:ind w:left="0"/>
        <w:jc w:val="both"/>
      </w:pPr>
      <w:r>
        <w:rPr>
          <w:rFonts w:ascii="Times New Roman"/>
          <w:b w:val="false"/>
          <w:i w:val="false"/>
          <w:color w:val="000000"/>
          <w:sz w:val="28"/>
        </w:rPr>
        <w:t>
      2. Регулировочная электрическая мощность действующей электрической станции, для участия во вторичном регулировании частоты и перетоков мощности, соответствует следующим требованиям:</w:t>
      </w:r>
    </w:p>
    <w:bookmarkEnd w:id="101"/>
    <w:bookmarkStart w:name="z120" w:id="102"/>
    <w:p>
      <w:pPr>
        <w:spacing w:after="0"/>
        <w:ind w:left="0"/>
        <w:jc w:val="both"/>
      </w:pPr>
      <w:r>
        <w:rPr>
          <w:rFonts w:ascii="Times New Roman"/>
          <w:b w:val="false"/>
          <w:i w:val="false"/>
          <w:color w:val="000000"/>
          <w:sz w:val="28"/>
        </w:rPr>
        <w:t>
      1) регулировочная электрическая мощность задействована в автоматическом (оперативном) вторичном регулировании частоты и мощности;</w:t>
      </w:r>
    </w:p>
    <w:bookmarkEnd w:id="102"/>
    <w:bookmarkStart w:name="z121" w:id="103"/>
    <w:p>
      <w:pPr>
        <w:spacing w:after="0"/>
        <w:ind w:left="0"/>
        <w:jc w:val="both"/>
      </w:pPr>
      <w:r>
        <w:rPr>
          <w:rFonts w:ascii="Times New Roman"/>
          <w:b w:val="false"/>
          <w:i w:val="false"/>
          <w:color w:val="000000"/>
          <w:sz w:val="28"/>
        </w:rPr>
        <w:t>
      2) суммарный объем регулировочной электрической мощности электрической станции не менее 50 МВт;</w:t>
      </w:r>
    </w:p>
    <w:bookmarkEnd w:id="103"/>
    <w:bookmarkStart w:name="z122" w:id="104"/>
    <w:p>
      <w:pPr>
        <w:spacing w:after="0"/>
        <w:ind w:left="0"/>
        <w:jc w:val="both"/>
      </w:pPr>
      <w:r>
        <w:rPr>
          <w:rFonts w:ascii="Times New Roman"/>
          <w:b w:val="false"/>
          <w:i w:val="false"/>
          <w:color w:val="000000"/>
          <w:sz w:val="28"/>
        </w:rPr>
        <w:t>
      3) задействование регулировочной электрической мощности в автоматическом (оперативном) вторичном регулировании частоты и мощности обеспечивается электрической станцией без ограничений по времени и продолжительности на всю заданную величину регулировочной электрической мощности.</w:t>
      </w:r>
    </w:p>
    <w:bookmarkEnd w:id="104"/>
    <w:bookmarkStart w:name="z123" w:id="105"/>
    <w:p>
      <w:pPr>
        <w:spacing w:after="0"/>
        <w:ind w:left="0"/>
        <w:jc w:val="both"/>
      </w:pPr>
      <w:r>
        <w:rPr>
          <w:rFonts w:ascii="Times New Roman"/>
          <w:b w:val="false"/>
          <w:i w:val="false"/>
          <w:color w:val="000000"/>
          <w:sz w:val="28"/>
        </w:rPr>
        <w:t>
      3. Регулировочная электрическая мощность электрической станции, вводимой в эксплуатацию после 1 января 2022 года, для участия во вторичном регулировании частоты и перетоков мощности, соответствует следующим требованиям:</w:t>
      </w:r>
    </w:p>
    <w:bookmarkEnd w:id="105"/>
    <w:bookmarkStart w:name="z124" w:id="106"/>
    <w:p>
      <w:pPr>
        <w:spacing w:after="0"/>
        <w:ind w:left="0"/>
        <w:jc w:val="both"/>
      </w:pPr>
      <w:r>
        <w:rPr>
          <w:rFonts w:ascii="Times New Roman"/>
          <w:b w:val="false"/>
          <w:i w:val="false"/>
          <w:color w:val="000000"/>
          <w:sz w:val="28"/>
        </w:rPr>
        <w:t>
      1) регулировочная электрическая мощность задействована в автоматическом вторичном регулировании частоты и мощности;</w:t>
      </w:r>
    </w:p>
    <w:bookmarkEnd w:id="106"/>
    <w:bookmarkStart w:name="z125" w:id="107"/>
    <w:p>
      <w:pPr>
        <w:spacing w:after="0"/>
        <w:ind w:left="0"/>
        <w:jc w:val="both"/>
      </w:pPr>
      <w:r>
        <w:rPr>
          <w:rFonts w:ascii="Times New Roman"/>
          <w:b w:val="false"/>
          <w:i w:val="false"/>
          <w:color w:val="000000"/>
          <w:sz w:val="28"/>
        </w:rPr>
        <w:t xml:space="preserve">
      2) объем регулировочной электрической мощности, соответствует диапазону регулирования, предъявляемому к вновь вводимой регулировочной электрической мощности и указанному в </w:t>
      </w:r>
      <w:r>
        <w:rPr>
          <w:rFonts w:ascii="Times New Roman"/>
          <w:b w:val="false"/>
          <w:i w:val="false"/>
          <w:color w:val="000000"/>
          <w:sz w:val="28"/>
        </w:rPr>
        <w:t>приложении</w:t>
      </w:r>
      <w:r>
        <w:rPr>
          <w:rFonts w:ascii="Times New Roman"/>
          <w:b w:val="false"/>
          <w:i w:val="false"/>
          <w:color w:val="000000"/>
          <w:sz w:val="28"/>
        </w:rPr>
        <w:t xml:space="preserve"> к настоящим Требованиям;</w:t>
      </w:r>
    </w:p>
    <w:bookmarkEnd w:id="107"/>
    <w:bookmarkStart w:name="z126" w:id="108"/>
    <w:p>
      <w:pPr>
        <w:spacing w:after="0"/>
        <w:ind w:left="0"/>
        <w:jc w:val="both"/>
      </w:pPr>
      <w:r>
        <w:rPr>
          <w:rFonts w:ascii="Times New Roman"/>
          <w:b w:val="false"/>
          <w:i w:val="false"/>
          <w:color w:val="000000"/>
          <w:sz w:val="28"/>
        </w:rPr>
        <w:t>
      3) скорость изменения объема регулировочной электрической мощности генерирующих установок на загрузку или разгрузку (соответствующая диапазону регулирования), соответствует скорости изменения регулировочной электрической мощности, предъявляемой к вновь вводимой регулировочной электрической мощности и указанной в приложении к настоящим Требованиям;</w:t>
      </w:r>
    </w:p>
    <w:bookmarkEnd w:id="108"/>
    <w:bookmarkStart w:name="z127" w:id="109"/>
    <w:p>
      <w:pPr>
        <w:spacing w:after="0"/>
        <w:ind w:left="0"/>
        <w:jc w:val="both"/>
      </w:pPr>
      <w:r>
        <w:rPr>
          <w:rFonts w:ascii="Times New Roman"/>
          <w:b w:val="false"/>
          <w:i w:val="false"/>
          <w:color w:val="000000"/>
          <w:sz w:val="28"/>
        </w:rPr>
        <w:t>
      4) задействование регулировочной электрической мощности в автоматическом регулировании частоты и мощности обеспечивается электрической станцией без ограничений по времени и продолжительности на всю заданную величину регулировочной электрической мощности;</w:t>
      </w:r>
    </w:p>
    <w:bookmarkEnd w:id="109"/>
    <w:bookmarkStart w:name="z128" w:id="110"/>
    <w:p>
      <w:pPr>
        <w:spacing w:after="0"/>
        <w:ind w:left="0"/>
        <w:jc w:val="both"/>
      </w:pPr>
      <w:r>
        <w:rPr>
          <w:rFonts w:ascii="Times New Roman"/>
          <w:b w:val="false"/>
          <w:i w:val="false"/>
          <w:color w:val="000000"/>
          <w:sz w:val="28"/>
        </w:rPr>
        <w:t>
      5) обеспечена возможность запуска и включения в работу генерирующих установок при отсутствии напряжения во внешней электрической сети;</w:t>
      </w:r>
    </w:p>
    <w:bookmarkEnd w:id="110"/>
    <w:bookmarkStart w:name="z129" w:id="111"/>
    <w:p>
      <w:pPr>
        <w:spacing w:after="0"/>
        <w:ind w:left="0"/>
        <w:jc w:val="both"/>
      </w:pPr>
      <w:r>
        <w:rPr>
          <w:rFonts w:ascii="Times New Roman"/>
          <w:b w:val="false"/>
          <w:i w:val="false"/>
          <w:color w:val="000000"/>
          <w:sz w:val="28"/>
        </w:rPr>
        <w:t>
      6) задействование регулировочной электрической мощности на загрузку-разгрузку осуществляется как оперативно, по командам диспетчерского персонала, так и автоматически от системы автоматического регулирования частоты и мощности системного оператора.</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Техническим, технологическим</w:t>
            </w:r>
            <w:r>
              <w:br/>
            </w:r>
            <w:r>
              <w:rPr>
                <w:rFonts w:ascii="Times New Roman"/>
                <w:b w:val="false"/>
                <w:i w:val="false"/>
                <w:color w:val="000000"/>
                <w:sz w:val="20"/>
              </w:rPr>
              <w:t>и эксплуатационным требованиям,</w:t>
            </w:r>
            <w:r>
              <w:br/>
            </w:r>
            <w:r>
              <w:rPr>
                <w:rFonts w:ascii="Times New Roman"/>
                <w:b w:val="false"/>
                <w:i w:val="false"/>
                <w:color w:val="000000"/>
                <w:sz w:val="20"/>
              </w:rPr>
              <w:t>предъявляемым к вновь</w:t>
            </w:r>
            <w:r>
              <w:br/>
            </w:r>
            <w:r>
              <w:rPr>
                <w:rFonts w:ascii="Times New Roman"/>
                <w:b w:val="false"/>
                <w:i w:val="false"/>
                <w:color w:val="000000"/>
                <w:sz w:val="20"/>
              </w:rPr>
              <w:t>вводимым в эксплуатацию</w:t>
            </w:r>
            <w:r>
              <w:br/>
            </w:r>
            <w:r>
              <w:rPr>
                <w:rFonts w:ascii="Times New Roman"/>
                <w:b w:val="false"/>
                <w:i w:val="false"/>
                <w:color w:val="000000"/>
                <w:sz w:val="20"/>
              </w:rPr>
              <w:t>генерирующим установкам</w:t>
            </w:r>
            <w:r>
              <w:br/>
            </w:r>
            <w:r>
              <w:rPr>
                <w:rFonts w:ascii="Times New Roman"/>
                <w:b w:val="false"/>
                <w:i w:val="false"/>
                <w:color w:val="000000"/>
                <w:sz w:val="20"/>
              </w:rPr>
              <w:t>с маневренным режимом генерации</w:t>
            </w:r>
            <w:r>
              <w:br/>
            </w:r>
            <w:r>
              <w:rPr>
                <w:rFonts w:ascii="Times New Roman"/>
                <w:b w:val="false"/>
                <w:i w:val="false"/>
                <w:color w:val="000000"/>
                <w:sz w:val="20"/>
              </w:rPr>
              <w:t>и диапазон регулирования</w:t>
            </w:r>
          </w:p>
        </w:tc>
      </w:tr>
    </w:tbl>
    <w:bookmarkStart w:name="z131" w:id="112"/>
    <w:p>
      <w:pPr>
        <w:spacing w:after="0"/>
        <w:ind w:left="0"/>
        <w:jc w:val="left"/>
      </w:pPr>
      <w:r>
        <w:rPr>
          <w:rFonts w:ascii="Times New Roman"/>
          <w:b/>
          <w:i w:val="false"/>
          <w:color w:val="000000"/>
        </w:rPr>
        <w:t xml:space="preserve"> Диапазон регулирования, предъявляемый к вновь вводимой регулировочной электрической мощности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электростанции энергопроизводящей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регулировочной электрической мощности,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изменения объема регулировочной электрической мощности, МВт/минута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Рраб.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Парогазовые электростанции участвующие в теплоснабжении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Газопоршневые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Рраб.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Гидроэлектростанции, в том числе контррегулирующие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2" w:id="113"/>
    <w:p>
      <w:pPr>
        <w:spacing w:after="0"/>
        <w:ind w:left="0"/>
        <w:jc w:val="both"/>
      </w:pPr>
      <w:r>
        <w:rPr>
          <w:rFonts w:ascii="Times New Roman"/>
          <w:b w:val="false"/>
          <w:i w:val="false"/>
          <w:color w:val="000000"/>
          <w:sz w:val="28"/>
        </w:rPr>
        <w:t>
      Примечание:</w:t>
      </w:r>
    </w:p>
    <w:bookmarkEnd w:id="113"/>
    <w:bookmarkStart w:name="z133" w:id="114"/>
    <w:p>
      <w:pPr>
        <w:spacing w:after="0"/>
        <w:ind w:left="0"/>
        <w:jc w:val="both"/>
      </w:pPr>
      <w:r>
        <w:rPr>
          <w:rFonts w:ascii="Times New Roman"/>
          <w:b w:val="false"/>
          <w:i w:val="false"/>
          <w:color w:val="000000"/>
          <w:sz w:val="28"/>
        </w:rPr>
        <w:t>
      * - Р – переменная база, в МВт, значение которой определяется на каждый час суток по следующей формуле:</w:t>
      </w:r>
    </w:p>
    <w:bookmarkEnd w:id="114"/>
    <w:bookmarkStart w:name="z134"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4533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33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значение рабочей электрической мощности генерации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136"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7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технического минимума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137"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1092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92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технологического минимум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138"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285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5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наибольшее из значений</w:t>
      </w:r>
      <w:r>
        <w:br/>
      </w:r>
      <w:r>
        <w:rPr>
          <w:rFonts w:ascii="Times New Roman"/>
          <w:b w:val="false"/>
          <w:i w:val="false"/>
          <w:color w:val="000000"/>
          <w:sz w:val="28"/>
        </w:rPr>
        <w:t>
</w:t>
      </w:r>
    </w:p>
    <w:bookmarkStart w:name="z139"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224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47900" cy="330200"/>
                    </a:xfrm>
                    <a:prstGeom prst="rect">
                      <a:avLst/>
                    </a:prstGeom>
                  </pic:spPr>
                </pic:pic>
              </a:graphicData>
            </a:graphic>
          </wp:inline>
        </w:drawing>
      </w:r>
    </w:p>
    <w:p>
      <w:pPr>
        <w:spacing w:after="0"/>
        <w:ind w:left="0"/>
        <w:jc w:val="left"/>
      </w:pPr>
      <w:r>
        <w:rPr>
          <w:rFonts w:ascii="Times New Roman"/>
          <w:b w:val="false"/>
          <w:i w:val="false"/>
          <w:color w:val="000000"/>
          <w:sz w:val="28"/>
        </w:rPr>
        <w:t>, в МВт.</w:t>
      </w:r>
      <w:r>
        <w:br/>
      </w:r>
      <w:r>
        <w:rPr>
          <w:rFonts w:ascii="Times New Roman"/>
          <w:b w:val="false"/>
          <w:i w:val="false"/>
          <w:color w:val="000000"/>
          <w:sz w:val="28"/>
        </w:rPr>
        <w:t>
</w:t>
      </w:r>
    </w:p>
    <w:bookmarkStart w:name="z140" w:id="121"/>
    <w:p>
      <w:pPr>
        <w:spacing w:after="0"/>
        <w:ind w:left="0"/>
        <w:jc w:val="both"/>
      </w:pPr>
      <w:r>
        <w:rPr>
          <w:rFonts w:ascii="Times New Roman"/>
          <w:b w:val="false"/>
          <w:i w:val="false"/>
          <w:color w:val="000000"/>
          <w:sz w:val="28"/>
        </w:rPr>
        <w:t>
      Значения</w:t>
      </w:r>
    </w:p>
    <w:bookmarkEnd w:id="121"/>
    <w:bookmarkStart w:name="z141"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2552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52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определяются согласно Правилам рынка мощности. Задействование регулировочной электрической мощности производиться на загрузку в пределах рабочей электрической мощности, на разгрузку до наибольшего из значений </w:t>
      </w:r>
    </w:p>
    <w:p>
      <w:pPr>
        <w:spacing w:after="0"/>
        <w:ind w:left="0"/>
        <w:jc w:val="both"/>
      </w:pPr>
      <w:r>
        <w:drawing>
          <wp:inline distT="0" distB="0" distL="0" distR="0">
            <wp:extent cx="2247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47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электрической станции энергопроизводящей организации.</w:t>
      </w:r>
      <w:r>
        <w:br/>
      </w:r>
      <w:r>
        <w:rPr>
          <w:rFonts w:ascii="Times New Roman"/>
          <w:b w:val="false"/>
          <w:i w:val="false"/>
          <w:color w:val="000000"/>
          <w:sz w:val="28"/>
        </w:rPr>
        <w:t>
</w:t>
      </w:r>
    </w:p>
    <w:bookmarkStart w:name="z142" w:id="123"/>
    <w:p>
      <w:pPr>
        <w:spacing w:after="0"/>
        <w:ind w:left="0"/>
        <w:jc w:val="both"/>
      </w:pPr>
      <w:r>
        <w:rPr>
          <w:rFonts w:ascii="Times New Roman"/>
          <w:b w:val="false"/>
          <w:i w:val="false"/>
          <w:color w:val="000000"/>
          <w:sz w:val="28"/>
        </w:rPr>
        <w:t xml:space="preserve">
      В рамках Второго вида аукционных торгов, параметры </w:t>
      </w:r>
    </w:p>
    <w:bookmarkEnd w:id="123"/>
    <w:p>
      <w:pPr>
        <w:spacing w:after="0"/>
        <w:ind w:left="0"/>
        <w:jc w:val="both"/>
      </w:pPr>
      <w:r>
        <w:drawing>
          <wp:inline distT="0" distB="0" distL="0" distR="0">
            <wp:extent cx="2565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65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применяются только для генерирующих установок, введенных в рамках данных аукционных торгов.</w:t>
      </w:r>
      <w:r>
        <w:br/>
      </w:r>
      <w:r>
        <w:rPr>
          <w:rFonts w:ascii="Times New Roman"/>
          <w:b w:val="false"/>
          <w:i w:val="false"/>
          <w:color w:val="000000"/>
          <w:sz w:val="28"/>
        </w:rPr>
        <w:t>
</w:t>
      </w:r>
    </w:p>
    <w:bookmarkStart w:name="z143" w:id="124"/>
    <w:p>
      <w:pPr>
        <w:spacing w:after="0"/>
        <w:ind w:left="0"/>
        <w:jc w:val="both"/>
      </w:pPr>
      <w:r>
        <w:rPr>
          <w:rFonts w:ascii="Times New Roman"/>
          <w:b w:val="false"/>
          <w:i w:val="false"/>
          <w:color w:val="000000"/>
          <w:sz w:val="28"/>
        </w:rPr>
        <w:t>
      ** - в целях обеспечения заданного диапазона регулирования среднечасовая генерация электрической энергии при формировании суточных графиков генерации, вновь вводимых в эксплуатацию генерирующих установок с маневренным режимом генерации учитывается на уровне, не более:</w:t>
      </w:r>
    </w:p>
    <w:bookmarkEnd w:id="124"/>
    <w:bookmarkStart w:name="z144"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407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76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26"/>
    <w:p>
      <w:pPr>
        <w:spacing w:after="0"/>
        <w:ind w:left="0"/>
        <w:jc w:val="both"/>
      </w:pPr>
      <w:r>
        <w:rPr>
          <w:rFonts w:ascii="Times New Roman"/>
          <w:b w:val="false"/>
          <w:i w:val="false"/>
          <w:color w:val="000000"/>
          <w:sz w:val="28"/>
        </w:rPr>
        <w:t>
      *** - в целях обеспечения заданного диапазона регулирования среднечасовая генерация электрической энергии при формировании суточных графиков генерации вновь вводимых в эксплуатацию генерирующих установок с маневренным режимом генерации учитывается на уровне:</w:t>
      </w:r>
    </w:p>
    <w:bookmarkEnd w:id="126"/>
    <w:bookmarkStart w:name="z146"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3746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46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