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54ef" w14:textId="3fc5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энергетики Республики Казахстан от 26 ноября 2019 года № 385 "Об утверждении Правил оснащения производственных объектов приборами учета сырой нефти и газового конденсата и обеспечения функционирования приборов учета сырой нефти и газового конденсата"</w:t>
      </w:r>
    </w:p>
    <w:p>
      <w:pPr>
        <w:spacing w:after="0"/>
        <w:ind w:left="0"/>
        <w:jc w:val="both"/>
      </w:pPr>
      <w:r>
        <w:rPr>
          <w:rFonts w:ascii="Times New Roman"/>
          <w:b w:val="false"/>
          <w:i w:val="false"/>
          <w:color w:val="000000"/>
          <w:sz w:val="28"/>
        </w:rPr>
        <w:t>Приказ и.о. Министра энергетики Республики Казахстан от 29 июля 2022 года № 249. Зарегистрирован в Министерстве юстиции Республики Казахстан 2 августа 2022 года № 28990.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26 ноября 2019 года № 385 "Об утверждении Правил оснащения производственных объектов приборами учета сырой нефти и газового конденсата и обеспечения функционирования приборов учета сырой нефти и газового конденсата" (зарегистрированный в Реестре государственной регистрации нормативных правовых актов за № 19664)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144 Кодекса Республики Казахстан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xml:space="preserve">
      "1. Настоящие Правила оснащения производственных объектов приборами учета сырой нефти и газового конденсата и обеспечения функционирования приборов учета сырой нефти и газового конденсата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144 Кодекса Республики Казахстан "О недрах и недропользовании" (далее – Кодекс) и определяют порядок оснащения производственных объектов приборами учета сырой нефти и газового конденсата и обеспечения функционирования приборов учета сырой нефти и газового конденсата.</w:t>
      </w:r>
    </w:p>
    <w:bookmarkEnd w:id="3"/>
    <w:bookmarkStart w:name="z10" w:id="4"/>
    <w:p>
      <w:pPr>
        <w:spacing w:after="0"/>
        <w:ind w:left="0"/>
        <w:jc w:val="both"/>
      </w:pPr>
      <w:r>
        <w:rPr>
          <w:rFonts w:ascii="Times New Roman"/>
          <w:b w:val="false"/>
          <w:i w:val="false"/>
          <w:color w:val="000000"/>
          <w:sz w:val="28"/>
        </w:rPr>
        <w:t>
      2. В Правилах применяются следующие понятия:</w:t>
      </w:r>
    </w:p>
    <w:bookmarkEnd w:id="4"/>
    <w:bookmarkStart w:name="z11" w:id="5"/>
    <w:p>
      <w:pPr>
        <w:spacing w:after="0"/>
        <w:ind w:left="0"/>
        <w:jc w:val="both"/>
      </w:pPr>
      <w:r>
        <w:rPr>
          <w:rFonts w:ascii="Times New Roman"/>
          <w:b w:val="false"/>
          <w:i w:val="false"/>
          <w:color w:val="000000"/>
          <w:sz w:val="28"/>
        </w:rPr>
        <w:t>
      1) получатель – лицо, осуществляющее прием продукции в соответствии с условиями договора на предоставление услуг по транспортировке продукции;</w:t>
      </w:r>
    </w:p>
    <w:bookmarkEnd w:id="5"/>
    <w:bookmarkStart w:name="z12" w:id="6"/>
    <w:p>
      <w:pPr>
        <w:spacing w:after="0"/>
        <w:ind w:left="0"/>
        <w:jc w:val="both"/>
      </w:pPr>
      <w:r>
        <w:rPr>
          <w:rFonts w:ascii="Times New Roman"/>
          <w:b w:val="false"/>
          <w:i w:val="false"/>
          <w:color w:val="000000"/>
          <w:sz w:val="28"/>
        </w:rPr>
        <w:t>
      2) отправитель – лицо, являющееся производителем продукции, или лицо, которое приобрело ее на законных основаниях, либо уполномоченное ими лицо, предоставляющее продукцию для транспортировки по магистральному трубопроводу на основании договора на предоставление услуг по транспортировке продукции;</w:t>
      </w:r>
    </w:p>
    <w:bookmarkEnd w:id="6"/>
    <w:bookmarkStart w:name="z13" w:id="7"/>
    <w:p>
      <w:pPr>
        <w:spacing w:after="0"/>
        <w:ind w:left="0"/>
        <w:jc w:val="both"/>
      </w:pPr>
      <w:r>
        <w:rPr>
          <w:rFonts w:ascii="Times New Roman"/>
          <w:b w:val="false"/>
          <w:i w:val="false"/>
          <w:color w:val="000000"/>
          <w:sz w:val="28"/>
        </w:rPr>
        <w:t>
      3) уполномоченный орган в области углеводородов – уполномоченный орган, реализующий государственную политику в области углеводородов;</w:t>
      </w:r>
    </w:p>
    <w:bookmarkEnd w:id="7"/>
    <w:bookmarkStart w:name="z14" w:id="8"/>
    <w:p>
      <w:pPr>
        <w:spacing w:after="0"/>
        <w:ind w:left="0"/>
        <w:jc w:val="both"/>
      </w:pPr>
      <w:r>
        <w:rPr>
          <w:rFonts w:ascii="Times New Roman"/>
          <w:b w:val="false"/>
          <w:i w:val="false"/>
          <w:color w:val="000000"/>
          <w:sz w:val="28"/>
        </w:rPr>
        <w:t>
      4) сырая нефть и газовый конденсат, подготовленные к поставке потребителю – товарная нефть (нефть), подготовленная к поставке потребителю в соответствии с требованиями СТ РК (ГОСТ Р 51858–2002, MOD) "Нефть. Общие технические условия";</w:t>
      </w:r>
    </w:p>
    <w:bookmarkEnd w:id="8"/>
    <w:bookmarkStart w:name="z15" w:id="9"/>
    <w:p>
      <w:pPr>
        <w:spacing w:after="0"/>
        <w:ind w:left="0"/>
        <w:jc w:val="both"/>
      </w:pPr>
      <w:r>
        <w:rPr>
          <w:rFonts w:ascii="Times New Roman"/>
          <w:b w:val="false"/>
          <w:i w:val="false"/>
          <w:color w:val="000000"/>
          <w:sz w:val="28"/>
        </w:rPr>
        <w:t>
      5) оборот сырой нефти и газового конденсата – подготовка, транспортировка, хранение, отгрузка, реализация, ввоз на территорию Республики Казахстан и вывоз за пределы территории Республики Казахстан;</w:t>
      </w:r>
    </w:p>
    <w:bookmarkEnd w:id="9"/>
    <w:bookmarkStart w:name="z16" w:id="10"/>
    <w:p>
      <w:pPr>
        <w:spacing w:after="0"/>
        <w:ind w:left="0"/>
        <w:jc w:val="both"/>
      </w:pPr>
      <w:r>
        <w:rPr>
          <w:rFonts w:ascii="Times New Roman"/>
          <w:b w:val="false"/>
          <w:i w:val="false"/>
          <w:color w:val="000000"/>
          <w:sz w:val="28"/>
        </w:rPr>
        <w:t>
      6) субъекты, осуществляющие деятельность в области оборота сырой нефти и газового конденсата (далее – Субъекты) – физические и юридические лица, осуществляющие деятельность в области оборота сырой нефти и газового конденсата;</w:t>
      </w:r>
    </w:p>
    <w:bookmarkEnd w:id="10"/>
    <w:bookmarkStart w:name="z17" w:id="11"/>
    <w:p>
      <w:pPr>
        <w:spacing w:after="0"/>
        <w:ind w:left="0"/>
        <w:jc w:val="both"/>
      </w:pPr>
      <w:r>
        <w:rPr>
          <w:rFonts w:ascii="Times New Roman"/>
          <w:b w:val="false"/>
          <w:i w:val="false"/>
          <w:color w:val="000000"/>
          <w:sz w:val="28"/>
        </w:rPr>
        <w:t>
      7) информационная система учета сырой нефти и газового конденсата – система, предназначенная для автоматизированного ежесуточного сбора, обработки, хранения и использования данных о количестве находящихся в обороте сырой нефти и газового конденсата, подготовленных к поставке потребителю в соответствии с требованиями действующих нормативных и технических документов, принятых в установленном порядке;</w:t>
      </w:r>
    </w:p>
    <w:bookmarkEnd w:id="11"/>
    <w:bookmarkStart w:name="z18" w:id="12"/>
    <w:p>
      <w:pPr>
        <w:spacing w:after="0"/>
        <w:ind w:left="0"/>
        <w:jc w:val="both"/>
      </w:pPr>
      <w:r>
        <w:rPr>
          <w:rFonts w:ascii="Times New Roman"/>
          <w:b w:val="false"/>
          <w:i w:val="false"/>
          <w:color w:val="000000"/>
          <w:sz w:val="28"/>
        </w:rPr>
        <w:t>
      8) приборы учета сырой нефти и газового конденсата (далее – ПУ) – комплекс технических устройств, обеспечивающих измерение операций по обороту сырой нефти и газового конденсата и допущенных к применению в соответствии с законодательством Республики Казахстан в области обеспечения единства измерений, а также программного обеспечения, осуществляющего ежесуточную передачу информации уполномоченному органу в области углеводородов.</w:t>
      </w:r>
    </w:p>
    <w:bookmarkEnd w:id="12"/>
    <w:bookmarkStart w:name="z19" w:id="13"/>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действующим законодательством Республики Казахстан.";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21" w:id="14"/>
    <w:p>
      <w:pPr>
        <w:spacing w:after="0"/>
        <w:ind w:left="0"/>
        <w:jc w:val="both"/>
      </w:pPr>
      <w:r>
        <w:rPr>
          <w:rFonts w:ascii="Times New Roman"/>
          <w:b w:val="false"/>
          <w:i w:val="false"/>
          <w:color w:val="000000"/>
          <w:sz w:val="28"/>
        </w:rPr>
        <w:t>
      2. Департаменту цифровизации и информатизации Министерства энергетики Республики Казахстан в установленном законодательством Республики Казахстан порядке обеспечить:</w:t>
      </w:r>
    </w:p>
    <w:bookmarkEnd w:id="14"/>
    <w:bookmarkStart w:name="z22"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
    <w:bookmarkStart w:name="z23" w:id="16"/>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16"/>
    <w:bookmarkStart w:name="z24" w:id="17"/>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w:t>
      </w:r>
    </w:p>
    <w:bookmarkEnd w:id="17"/>
    <w:bookmarkStart w:name="z25" w:id="1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8"/>
    <w:bookmarkStart w:name="z26" w:id="1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Магауов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8"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торговли и</w:t>
      </w:r>
    </w:p>
    <w:p>
      <w:pPr>
        <w:spacing w:after="0"/>
        <w:ind w:left="0"/>
        <w:jc w:val="both"/>
      </w:pPr>
      <w:r>
        <w:rPr>
          <w:rFonts w:ascii="Times New Roman"/>
          <w:b w:val="false"/>
          <w:i w:val="false"/>
          <w:color w:val="000000"/>
          <w:sz w:val="28"/>
        </w:rPr>
        <w:t>интеграции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9"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