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80cd" w14:textId="ccb8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проведению мониторинга земель</w:t>
      </w:r>
    </w:p>
    <w:p>
      <w:pPr>
        <w:spacing w:after="0"/>
        <w:ind w:left="0"/>
        <w:jc w:val="both"/>
      </w:pPr>
      <w:r>
        <w:rPr>
          <w:rFonts w:ascii="Times New Roman"/>
          <w:b w:val="false"/>
          <w:i w:val="false"/>
          <w:color w:val="000000"/>
          <w:sz w:val="28"/>
        </w:rPr>
        <w:t>Приказ Министра сельского хозяйства Республики Казахстан от 10 августа 2022 года № 250. Зарегистрирован в Министерстве юстиции Республики Казахстан 11 августа 2022 года № 29085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пункта 1 статьи 14 Земельного кодекса Республики Казахстан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проведению мониторинга земель.</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августа 2022 года № 250</w:t>
            </w:r>
          </w:p>
        </w:tc>
      </w:tr>
    </w:tbl>
    <w:bookmarkStart w:name="z14" w:id="8"/>
    <w:p>
      <w:pPr>
        <w:spacing w:after="0"/>
        <w:ind w:left="0"/>
        <w:jc w:val="left"/>
      </w:pPr>
      <w:r>
        <w:rPr>
          <w:rFonts w:ascii="Times New Roman"/>
          <w:b/>
          <w:i w:val="false"/>
          <w:color w:val="000000"/>
        </w:rPr>
        <w:t xml:space="preserve"> Методика по проведению мониторинга земель </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Настоящая Методика по проведению мониторинга земель (далее – Методика) разработана в соответствии с </w:t>
      </w:r>
      <w:r>
        <w:rPr>
          <w:rFonts w:ascii="Times New Roman"/>
          <w:b w:val="false"/>
          <w:i w:val="false"/>
          <w:color w:val="000000"/>
          <w:sz w:val="28"/>
        </w:rPr>
        <w:t>подпунктом 4-6)</w:t>
      </w:r>
      <w:r>
        <w:rPr>
          <w:rFonts w:ascii="Times New Roman"/>
          <w:b w:val="false"/>
          <w:i w:val="false"/>
          <w:color w:val="000000"/>
          <w:sz w:val="28"/>
        </w:rPr>
        <w:t xml:space="preserve"> пункта 1 статьи 14 Земельного кодекса Республики Казахстан (далее – Кодекс) и применяется при проведении мониторинга земель.</w:t>
      </w:r>
    </w:p>
    <w:bookmarkEnd w:id="10"/>
    <w:bookmarkStart w:name="z17" w:id="11"/>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11"/>
    <w:bookmarkStart w:name="z18" w:id="12"/>
    <w:p>
      <w:pPr>
        <w:spacing w:after="0"/>
        <w:ind w:left="0"/>
        <w:jc w:val="both"/>
      </w:pPr>
      <w:r>
        <w:rPr>
          <w:rFonts w:ascii="Times New Roman"/>
          <w:b w:val="false"/>
          <w:i w:val="false"/>
          <w:color w:val="000000"/>
          <w:sz w:val="28"/>
        </w:rPr>
        <w:t>
      1) полустационарный пункт – земельный участок, который организуется в зависимости от конкретных условий и целей для периодических (на срок более 10 лет) наблюдений с интервалами в 5, 10 и более лет;</w:t>
      </w:r>
    </w:p>
    <w:bookmarkEnd w:id="12"/>
    <w:bookmarkStart w:name="z19" w:id="13"/>
    <w:p>
      <w:pPr>
        <w:spacing w:after="0"/>
        <w:ind w:left="0"/>
        <w:jc w:val="both"/>
      </w:pPr>
      <w:r>
        <w:rPr>
          <w:rFonts w:ascii="Times New Roman"/>
          <w:b w:val="false"/>
          <w:i w:val="false"/>
          <w:color w:val="000000"/>
          <w:sz w:val="28"/>
        </w:rPr>
        <w:t>
      2) метод конверта – метод, при котором на площадке отбираются 5 почвенных проб, расположенных в виде запечатанного конверта;</w:t>
      </w:r>
    </w:p>
    <w:bookmarkEnd w:id="13"/>
    <w:bookmarkStart w:name="z20" w:id="14"/>
    <w:p>
      <w:pPr>
        <w:spacing w:after="0"/>
        <w:ind w:left="0"/>
        <w:jc w:val="both"/>
      </w:pPr>
      <w:r>
        <w:rPr>
          <w:rFonts w:ascii="Times New Roman"/>
          <w:b w:val="false"/>
          <w:i w:val="false"/>
          <w:color w:val="000000"/>
          <w:sz w:val="28"/>
        </w:rPr>
        <w:t>
      3) ключевой участок – типичный участок местности, с необходимой достоверностью отражающий состав и характер растительности и почв, их связь с природными условиями определенного ландшафта;</w:t>
      </w:r>
    </w:p>
    <w:bookmarkEnd w:id="14"/>
    <w:bookmarkStart w:name="z21" w:id="15"/>
    <w:p>
      <w:pPr>
        <w:spacing w:after="0"/>
        <w:ind w:left="0"/>
        <w:jc w:val="both"/>
      </w:pPr>
      <w:r>
        <w:rPr>
          <w:rFonts w:ascii="Times New Roman"/>
          <w:b w:val="false"/>
          <w:i w:val="false"/>
          <w:color w:val="000000"/>
          <w:sz w:val="28"/>
        </w:rPr>
        <w:t>
      4) полигон – территория различной конфигурации, характеризующая определенные виды ландшафтов (пески, предгорные равнины, горы);</w:t>
      </w:r>
    </w:p>
    <w:bookmarkEnd w:id="15"/>
    <w:bookmarkStart w:name="z22" w:id="16"/>
    <w:p>
      <w:pPr>
        <w:spacing w:after="0"/>
        <w:ind w:left="0"/>
        <w:jc w:val="both"/>
      </w:pPr>
      <w:r>
        <w:rPr>
          <w:rFonts w:ascii="Times New Roman"/>
          <w:b w:val="false"/>
          <w:i w:val="false"/>
          <w:color w:val="000000"/>
          <w:sz w:val="28"/>
        </w:rPr>
        <w:t>
      5) стационарный пункт – земельный участок, который организуется с целью постоянных долговременных (на срок более 10 лет) наблюдений за состоянием растительного и почвенного покрова в различных природно-климатических зонах, провинциях, высотных поясах.</w:t>
      </w:r>
    </w:p>
    <w:bookmarkEnd w:id="16"/>
    <w:bookmarkStart w:name="z23" w:id="17"/>
    <w:p>
      <w:pPr>
        <w:spacing w:after="0"/>
        <w:ind w:left="0"/>
        <w:jc w:val="both"/>
      </w:pPr>
      <w:r>
        <w:rPr>
          <w:rFonts w:ascii="Times New Roman"/>
          <w:b w:val="false"/>
          <w:i w:val="false"/>
          <w:color w:val="000000"/>
          <w:sz w:val="28"/>
        </w:rPr>
        <w:t>
      3. Для проведения мониторинга земель формируется территориально-зональная сеть пунктов наблюдений за состоянием земель (далее – территориально-зональная сеть мониторинга).</w:t>
      </w:r>
    </w:p>
    <w:bookmarkEnd w:id="17"/>
    <w:bookmarkStart w:name="z24" w:id="18"/>
    <w:p>
      <w:pPr>
        <w:spacing w:after="0"/>
        <w:ind w:left="0"/>
        <w:jc w:val="both"/>
      </w:pPr>
      <w:r>
        <w:rPr>
          <w:rFonts w:ascii="Times New Roman"/>
          <w:b w:val="false"/>
          <w:i w:val="false"/>
          <w:color w:val="000000"/>
          <w:sz w:val="28"/>
        </w:rPr>
        <w:t xml:space="preserve">
      4. Территориально-зональная сеть мониторинга состоит из стационарных (далее – СПН) и полустационарных пунктов наблюдений (далее – ПСПН). </w:t>
      </w:r>
    </w:p>
    <w:bookmarkEnd w:id="18"/>
    <w:bookmarkStart w:name="z25" w:id="19"/>
    <w:p>
      <w:pPr>
        <w:spacing w:after="0"/>
        <w:ind w:left="0"/>
        <w:jc w:val="both"/>
      </w:pPr>
      <w:r>
        <w:rPr>
          <w:rFonts w:ascii="Times New Roman"/>
          <w:b w:val="false"/>
          <w:i w:val="false"/>
          <w:color w:val="000000"/>
          <w:sz w:val="28"/>
        </w:rPr>
        <w:t xml:space="preserve">
      5. Территориально-зональная сеть мониторинга формируется по областям в соответствии с административно-территориальным делением республики и природным зонам на территории Республики Казахстан, определенным </w:t>
      </w:r>
      <w:r>
        <w:rPr>
          <w:rFonts w:ascii="Times New Roman"/>
          <w:b w:val="false"/>
          <w:i w:val="false"/>
          <w:color w:val="000000"/>
          <w:sz w:val="28"/>
        </w:rPr>
        <w:t>пунктом 3</w:t>
      </w:r>
      <w:r>
        <w:rPr>
          <w:rFonts w:ascii="Times New Roman"/>
          <w:b w:val="false"/>
          <w:i w:val="false"/>
          <w:color w:val="000000"/>
          <w:sz w:val="28"/>
        </w:rPr>
        <w:t xml:space="preserve"> статьи 1 Кодекса.</w:t>
      </w:r>
    </w:p>
    <w:bookmarkEnd w:id="19"/>
    <w:bookmarkStart w:name="z26" w:id="20"/>
    <w:p>
      <w:pPr>
        <w:spacing w:after="0"/>
        <w:ind w:left="0"/>
        <w:jc w:val="both"/>
      </w:pPr>
      <w:r>
        <w:rPr>
          <w:rFonts w:ascii="Times New Roman"/>
          <w:b w:val="false"/>
          <w:i w:val="false"/>
          <w:color w:val="000000"/>
          <w:sz w:val="28"/>
        </w:rPr>
        <w:t xml:space="preserve">
      Состав природных зон на территории Республики Казахстан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w:t>
      </w:r>
    </w:p>
    <w:bookmarkEnd w:id="20"/>
    <w:bookmarkStart w:name="z27" w:id="21"/>
    <w:p>
      <w:pPr>
        <w:spacing w:after="0"/>
        <w:ind w:left="0"/>
        <w:jc w:val="both"/>
      </w:pPr>
      <w:r>
        <w:rPr>
          <w:rFonts w:ascii="Times New Roman"/>
          <w:b w:val="false"/>
          <w:i w:val="false"/>
          <w:color w:val="000000"/>
          <w:sz w:val="28"/>
        </w:rPr>
        <w:t>
      6. При формировании территориально-зональной сети мониторинга для каждой почвенной зоны, подзоны и провинции в пределах административной границы одной области выделяются пять доминирующих почвенных разновидностей. На первой доминирующей почвенной разновидности закладываются СПН, для второго, третьего, четвертого и пятого почвенных доминантов закладываются ПСПН.</w:t>
      </w:r>
    </w:p>
    <w:bookmarkEnd w:id="21"/>
    <w:bookmarkStart w:name="z28" w:id="22"/>
    <w:p>
      <w:pPr>
        <w:spacing w:after="0"/>
        <w:ind w:left="0"/>
        <w:jc w:val="both"/>
      </w:pPr>
      <w:r>
        <w:rPr>
          <w:rFonts w:ascii="Times New Roman"/>
          <w:b w:val="false"/>
          <w:i w:val="false"/>
          <w:color w:val="000000"/>
          <w:sz w:val="28"/>
        </w:rPr>
        <w:t>
      7. Места заложения СПН и ПСПН определяются исходя из степени приближенности их к существующим зональным и региональным опытным хозяйствам, сортоиспытательным участкам, опытным полям научно-исследовательских институтов, метеостанциям и метеопостам, местам заложения почвенных разрезов с образцами ранее проведенных почвенных изысканий.</w:t>
      </w:r>
    </w:p>
    <w:bookmarkEnd w:id="22"/>
    <w:bookmarkStart w:name="z29" w:id="23"/>
    <w:p>
      <w:pPr>
        <w:spacing w:after="0"/>
        <w:ind w:left="0"/>
        <w:jc w:val="both"/>
      </w:pPr>
      <w:r>
        <w:rPr>
          <w:rFonts w:ascii="Times New Roman"/>
          <w:b w:val="false"/>
          <w:i w:val="false"/>
          <w:color w:val="000000"/>
          <w:sz w:val="28"/>
        </w:rPr>
        <w:t>
      8. Мониторинг земель осуществляется на сельскохозяйственных угодьях земель всех категорий и выполняется на землях сельскохозяйственного назначения.</w:t>
      </w:r>
    </w:p>
    <w:bookmarkEnd w:id="23"/>
    <w:bookmarkStart w:name="z30" w:id="24"/>
    <w:p>
      <w:pPr>
        <w:spacing w:after="0"/>
        <w:ind w:left="0"/>
        <w:jc w:val="both"/>
      </w:pPr>
      <w:r>
        <w:rPr>
          <w:rFonts w:ascii="Times New Roman"/>
          <w:b w:val="false"/>
          <w:i w:val="false"/>
          <w:color w:val="000000"/>
          <w:sz w:val="28"/>
        </w:rPr>
        <w:t>
      По составу мониторинг земель сельскохозяйственных угодий подразделяется на:</w:t>
      </w:r>
    </w:p>
    <w:bookmarkEnd w:id="24"/>
    <w:bookmarkStart w:name="z31" w:id="25"/>
    <w:p>
      <w:pPr>
        <w:spacing w:after="0"/>
        <w:ind w:left="0"/>
        <w:jc w:val="both"/>
      </w:pPr>
      <w:r>
        <w:rPr>
          <w:rFonts w:ascii="Times New Roman"/>
          <w:b w:val="false"/>
          <w:i w:val="false"/>
          <w:color w:val="000000"/>
          <w:sz w:val="28"/>
        </w:rPr>
        <w:t>
      1) мониторинг плодородия почв сельскохозяйственных угодий;</w:t>
      </w:r>
    </w:p>
    <w:bookmarkEnd w:id="25"/>
    <w:bookmarkStart w:name="z32" w:id="26"/>
    <w:p>
      <w:pPr>
        <w:spacing w:after="0"/>
        <w:ind w:left="0"/>
        <w:jc w:val="both"/>
      </w:pPr>
      <w:r>
        <w:rPr>
          <w:rFonts w:ascii="Times New Roman"/>
          <w:b w:val="false"/>
          <w:i w:val="false"/>
          <w:color w:val="000000"/>
          <w:sz w:val="28"/>
        </w:rPr>
        <w:t xml:space="preserve">
      2) мониторинг состояния растительного покрова природных кормовых угодий. </w:t>
      </w:r>
    </w:p>
    <w:bookmarkEnd w:id="26"/>
    <w:bookmarkStart w:name="z33" w:id="27"/>
    <w:p>
      <w:pPr>
        <w:spacing w:after="0"/>
        <w:ind w:left="0"/>
        <w:jc w:val="left"/>
      </w:pPr>
      <w:r>
        <w:rPr>
          <w:rFonts w:ascii="Times New Roman"/>
          <w:b/>
          <w:i w:val="false"/>
          <w:color w:val="000000"/>
        </w:rPr>
        <w:t xml:space="preserve"> Глава 2. Мониторинг плодородия почв сельскохозяйственных угодий</w:t>
      </w:r>
    </w:p>
    <w:bookmarkEnd w:id="27"/>
    <w:bookmarkStart w:name="z34" w:id="28"/>
    <w:p>
      <w:pPr>
        <w:spacing w:after="0"/>
        <w:ind w:left="0"/>
        <w:jc w:val="both"/>
      </w:pPr>
      <w:r>
        <w:rPr>
          <w:rFonts w:ascii="Times New Roman"/>
          <w:b w:val="false"/>
          <w:i w:val="false"/>
          <w:color w:val="000000"/>
          <w:sz w:val="28"/>
        </w:rPr>
        <w:t>
      9. В рамках мониторинга плодородия почв сельскохозяйственных угодий осуществляется наблюдение за изменением плодородия почв (опустынивание, развитие водной и ветровой эрозии, дегумификация почв, снижение элементов питания, осолонцевание, заболачивание, переувлажнение и подтопление).</w:t>
      </w:r>
    </w:p>
    <w:bookmarkEnd w:id="28"/>
    <w:bookmarkStart w:name="z35" w:id="29"/>
    <w:p>
      <w:pPr>
        <w:spacing w:after="0"/>
        <w:ind w:left="0"/>
        <w:jc w:val="both"/>
      </w:pPr>
      <w:r>
        <w:rPr>
          <w:rFonts w:ascii="Times New Roman"/>
          <w:b w:val="false"/>
          <w:i w:val="false"/>
          <w:color w:val="000000"/>
          <w:sz w:val="28"/>
        </w:rPr>
        <w:t>
      10. Мониторинг почв сельскохозяйственных угодий осуществляется в три периода:</w:t>
      </w:r>
    </w:p>
    <w:bookmarkEnd w:id="29"/>
    <w:bookmarkStart w:name="z36" w:id="30"/>
    <w:p>
      <w:pPr>
        <w:spacing w:after="0"/>
        <w:ind w:left="0"/>
        <w:jc w:val="both"/>
      </w:pPr>
      <w:r>
        <w:rPr>
          <w:rFonts w:ascii="Times New Roman"/>
          <w:b w:val="false"/>
          <w:i w:val="false"/>
          <w:color w:val="000000"/>
          <w:sz w:val="28"/>
        </w:rPr>
        <w:t>
      1) подготовительный период;</w:t>
      </w:r>
    </w:p>
    <w:bookmarkEnd w:id="30"/>
    <w:bookmarkStart w:name="z37" w:id="31"/>
    <w:p>
      <w:pPr>
        <w:spacing w:after="0"/>
        <w:ind w:left="0"/>
        <w:jc w:val="both"/>
      </w:pPr>
      <w:r>
        <w:rPr>
          <w:rFonts w:ascii="Times New Roman"/>
          <w:b w:val="false"/>
          <w:i w:val="false"/>
          <w:color w:val="000000"/>
          <w:sz w:val="28"/>
        </w:rPr>
        <w:t>
      2) полевой период;</w:t>
      </w:r>
    </w:p>
    <w:bookmarkEnd w:id="31"/>
    <w:bookmarkStart w:name="z38" w:id="32"/>
    <w:p>
      <w:pPr>
        <w:spacing w:after="0"/>
        <w:ind w:left="0"/>
        <w:jc w:val="both"/>
      </w:pPr>
      <w:r>
        <w:rPr>
          <w:rFonts w:ascii="Times New Roman"/>
          <w:b w:val="false"/>
          <w:i w:val="false"/>
          <w:color w:val="000000"/>
          <w:sz w:val="28"/>
        </w:rPr>
        <w:t>
      3) камеральный период.</w:t>
      </w:r>
    </w:p>
    <w:bookmarkEnd w:id="32"/>
    <w:bookmarkStart w:name="z39" w:id="33"/>
    <w:p>
      <w:pPr>
        <w:spacing w:after="0"/>
        <w:ind w:left="0"/>
        <w:jc w:val="left"/>
      </w:pPr>
      <w:r>
        <w:rPr>
          <w:rFonts w:ascii="Times New Roman"/>
          <w:b/>
          <w:i w:val="false"/>
          <w:color w:val="000000"/>
        </w:rPr>
        <w:t xml:space="preserve"> Параграф 1. Подготовительный период</w:t>
      </w:r>
    </w:p>
    <w:bookmarkEnd w:id="33"/>
    <w:bookmarkStart w:name="z40" w:id="34"/>
    <w:p>
      <w:pPr>
        <w:spacing w:after="0"/>
        <w:ind w:left="0"/>
        <w:jc w:val="both"/>
      </w:pPr>
      <w:r>
        <w:rPr>
          <w:rFonts w:ascii="Times New Roman"/>
          <w:b w:val="false"/>
          <w:i w:val="false"/>
          <w:color w:val="000000"/>
          <w:sz w:val="28"/>
        </w:rPr>
        <w:t>
      11. В подготовительный период производится:</w:t>
      </w:r>
    </w:p>
    <w:bookmarkEnd w:id="34"/>
    <w:bookmarkStart w:name="z41" w:id="35"/>
    <w:p>
      <w:pPr>
        <w:spacing w:after="0"/>
        <w:ind w:left="0"/>
        <w:jc w:val="both"/>
      </w:pPr>
      <w:r>
        <w:rPr>
          <w:rFonts w:ascii="Times New Roman"/>
          <w:b w:val="false"/>
          <w:i w:val="false"/>
          <w:color w:val="000000"/>
          <w:sz w:val="28"/>
        </w:rPr>
        <w:t>
      1) сбор исходных данных по всем видам и турам почвенных, геоботанических, гидрогеологических изысканий;</w:t>
      </w:r>
    </w:p>
    <w:bookmarkEnd w:id="35"/>
    <w:bookmarkStart w:name="z42" w:id="36"/>
    <w:p>
      <w:pPr>
        <w:spacing w:after="0"/>
        <w:ind w:left="0"/>
        <w:jc w:val="both"/>
      </w:pPr>
      <w:r>
        <w:rPr>
          <w:rFonts w:ascii="Times New Roman"/>
          <w:b w:val="false"/>
          <w:i w:val="false"/>
          <w:color w:val="000000"/>
          <w:sz w:val="28"/>
        </w:rPr>
        <w:t>
      2) изучение системы земледелия объекта (землепользования);</w:t>
      </w:r>
    </w:p>
    <w:bookmarkEnd w:id="36"/>
    <w:bookmarkStart w:name="z43" w:id="37"/>
    <w:p>
      <w:pPr>
        <w:spacing w:after="0"/>
        <w:ind w:left="0"/>
        <w:jc w:val="both"/>
      </w:pPr>
      <w:r>
        <w:rPr>
          <w:rFonts w:ascii="Times New Roman"/>
          <w:b w:val="false"/>
          <w:i w:val="false"/>
          <w:color w:val="000000"/>
          <w:sz w:val="28"/>
        </w:rPr>
        <w:t xml:space="preserve">
      3) сбор сведений по видам и количеству вносимых удобрений, мелиоративным агротехническим мероприятиям; </w:t>
      </w:r>
    </w:p>
    <w:bookmarkEnd w:id="37"/>
    <w:bookmarkStart w:name="z44" w:id="38"/>
    <w:p>
      <w:pPr>
        <w:spacing w:after="0"/>
        <w:ind w:left="0"/>
        <w:jc w:val="both"/>
      </w:pPr>
      <w:r>
        <w:rPr>
          <w:rFonts w:ascii="Times New Roman"/>
          <w:b w:val="false"/>
          <w:i w:val="false"/>
          <w:color w:val="000000"/>
          <w:sz w:val="28"/>
        </w:rPr>
        <w:t xml:space="preserve">
      4) отбор выкопировки фрагментов почвенных, геоботанических, гидрогеологических карт, плана внутрихозяйственного землеустройства; </w:t>
      </w:r>
    </w:p>
    <w:bookmarkEnd w:id="38"/>
    <w:bookmarkStart w:name="z45" w:id="39"/>
    <w:p>
      <w:pPr>
        <w:spacing w:after="0"/>
        <w:ind w:left="0"/>
        <w:jc w:val="both"/>
      </w:pPr>
      <w:r>
        <w:rPr>
          <w:rFonts w:ascii="Times New Roman"/>
          <w:b w:val="false"/>
          <w:i w:val="false"/>
          <w:color w:val="000000"/>
          <w:sz w:val="28"/>
        </w:rPr>
        <w:t xml:space="preserve">
      5) определение комплекса изучаемых свойств почв; </w:t>
      </w:r>
    </w:p>
    <w:bookmarkEnd w:id="39"/>
    <w:bookmarkStart w:name="z46" w:id="40"/>
    <w:p>
      <w:pPr>
        <w:spacing w:after="0"/>
        <w:ind w:left="0"/>
        <w:jc w:val="both"/>
      </w:pPr>
      <w:r>
        <w:rPr>
          <w:rFonts w:ascii="Times New Roman"/>
          <w:b w:val="false"/>
          <w:i w:val="false"/>
          <w:color w:val="000000"/>
          <w:sz w:val="28"/>
        </w:rPr>
        <w:t>
      6) составление календарного плана работ, сметы.</w:t>
      </w:r>
    </w:p>
    <w:bookmarkEnd w:id="40"/>
    <w:bookmarkStart w:name="z47" w:id="41"/>
    <w:p>
      <w:pPr>
        <w:spacing w:after="0"/>
        <w:ind w:left="0"/>
        <w:jc w:val="both"/>
      </w:pPr>
      <w:r>
        <w:rPr>
          <w:rFonts w:ascii="Times New Roman"/>
          <w:b w:val="false"/>
          <w:i w:val="false"/>
          <w:color w:val="000000"/>
          <w:sz w:val="28"/>
        </w:rPr>
        <w:t xml:space="preserve">
      12. В подготовительный период производится предварительный отбор места (хозяйства, севооборота, поля, почвенного контура) заложения ключевого участка, СПН и ПСПН на основании обобщения данных (сведений) почвенных изысканий прошлых лет. </w:t>
      </w:r>
    </w:p>
    <w:bookmarkEnd w:id="41"/>
    <w:bookmarkStart w:name="z48" w:id="42"/>
    <w:p>
      <w:pPr>
        <w:spacing w:after="0"/>
        <w:ind w:left="0"/>
        <w:jc w:val="left"/>
      </w:pPr>
      <w:r>
        <w:rPr>
          <w:rFonts w:ascii="Times New Roman"/>
          <w:b/>
          <w:i w:val="false"/>
          <w:color w:val="000000"/>
        </w:rPr>
        <w:t xml:space="preserve"> Параграф 2. Полевой период</w:t>
      </w:r>
    </w:p>
    <w:bookmarkEnd w:id="42"/>
    <w:bookmarkStart w:name="z49" w:id="43"/>
    <w:p>
      <w:pPr>
        <w:spacing w:after="0"/>
        <w:ind w:left="0"/>
        <w:jc w:val="both"/>
      </w:pPr>
      <w:r>
        <w:rPr>
          <w:rFonts w:ascii="Times New Roman"/>
          <w:b w:val="false"/>
          <w:i w:val="false"/>
          <w:color w:val="000000"/>
          <w:sz w:val="28"/>
        </w:rPr>
        <w:t>
      13. Работы полевого периода осуществляются в два этапа:</w:t>
      </w:r>
    </w:p>
    <w:bookmarkEnd w:id="43"/>
    <w:bookmarkStart w:name="z50" w:id="44"/>
    <w:p>
      <w:pPr>
        <w:spacing w:after="0"/>
        <w:ind w:left="0"/>
        <w:jc w:val="both"/>
      </w:pPr>
      <w:r>
        <w:rPr>
          <w:rFonts w:ascii="Times New Roman"/>
          <w:b w:val="false"/>
          <w:i w:val="false"/>
          <w:color w:val="000000"/>
          <w:sz w:val="28"/>
        </w:rPr>
        <w:t>
      на первом этапе – изучение исходного состояния свойств почв и факторов, оказывающих влияние на развитие и трансформацию почвенных процессов;</w:t>
      </w:r>
    </w:p>
    <w:bookmarkEnd w:id="44"/>
    <w:bookmarkStart w:name="z51" w:id="45"/>
    <w:p>
      <w:pPr>
        <w:spacing w:after="0"/>
        <w:ind w:left="0"/>
        <w:jc w:val="both"/>
      </w:pPr>
      <w:r>
        <w:rPr>
          <w:rFonts w:ascii="Times New Roman"/>
          <w:b w:val="false"/>
          <w:i w:val="false"/>
          <w:color w:val="000000"/>
          <w:sz w:val="28"/>
        </w:rPr>
        <w:t>
      на втором этапе – ведение ежегодных и многолетних режимных наблюдений.</w:t>
      </w:r>
    </w:p>
    <w:bookmarkEnd w:id="45"/>
    <w:bookmarkStart w:name="z52" w:id="46"/>
    <w:p>
      <w:pPr>
        <w:spacing w:after="0"/>
        <w:ind w:left="0"/>
        <w:jc w:val="both"/>
      </w:pPr>
      <w:r>
        <w:rPr>
          <w:rFonts w:ascii="Times New Roman"/>
          <w:b w:val="false"/>
          <w:i w:val="false"/>
          <w:color w:val="000000"/>
          <w:sz w:val="28"/>
        </w:rPr>
        <w:t>
      14. На первом этапе полевого периода территориально-зональная сеть мониторинга первоначально формируется на наиболее распространенных почвах области с завершением всего комплекса работ (полевых изысканий, лабораторных анализов, камеральных исследований), затем на второй, третьей, четвертой и пятой доминирующих почвенных разновидностях.</w:t>
      </w:r>
    </w:p>
    <w:bookmarkEnd w:id="46"/>
    <w:bookmarkStart w:name="z53" w:id="47"/>
    <w:p>
      <w:pPr>
        <w:spacing w:after="0"/>
        <w:ind w:left="0"/>
        <w:jc w:val="both"/>
      </w:pPr>
      <w:r>
        <w:rPr>
          <w:rFonts w:ascii="Times New Roman"/>
          <w:b w:val="false"/>
          <w:i w:val="false"/>
          <w:color w:val="000000"/>
          <w:sz w:val="28"/>
        </w:rPr>
        <w:t>
      15. На основании почвенных доминантов определяется место размещения ключевого участка, которое обосновывается максимальной площадью контура, наличием достаточного количества анализируемых почвенных разрезов, количеством туров обследований, типичностью севооборотов для данной природной зоны.</w:t>
      </w:r>
    </w:p>
    <w:bookmarkEnd w:id="47"/>
    <w:bookmarkStart w:name="z54" w:id="48"/>
    <w:p>
      <w:pPr>
        <w:spacing w:after="0"/>
        <w:ind w:left="0"/>
        <w:jc w:val="both"/>
      </w:pPr>
      <w:r>
        <w:rPr>
          <w:rFonts w:ascii="Times New Roman"/>
          <w:b w:val="false"/>
          <w:i w:val="false"/>
          <w:color w:val="000000"/>
          <w:sz w:val="28"/>
        </w:rPr>
        <w:t xml:space="preserve">
      Ведомость определения почвенных доминантов области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8"/>
    <w:bookmarkStart w:name="z55" w:id="49"/>
    <w:p>
      <w:pPr>
        <w:spacing w:after="0"/>
        <w:ind w:left="0"/>
        <w:jc w:val="both"/>
      </w:pPr>
      <w:r>
        <w:rPr>
          <w:rFonts w:ascii="Times New Roman"/>
          <w:b w:val="false"/>
          <w:i w:val="false"/>
          <w:color w:val="000000"/>
          <w:sz w:val="28"/>
        </w:rPr>
        <w:t xml:space="preserve">
      16. Выбор места заложения ключевого участка согласовывается с собственником земельного участка или землепользователем, уполномоченным органом по земельным отношениям района и по итогам составляется акт отбора ключевого участка, стационарных и полустационарных пунктов наблюдений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49"/>
    <w:bookmarkStart w:name="z56" w:id="50"/>
    <w:p>
      <w:pPr>
        <w:spacing w:after="0"/>
        <w:ind w:left="0"/>
        <w:jc w:val="both"/>
      </w:pPr>
      <w:r>
        <w:rPr>
          <w:rFonts w:ascii="Times New Roman"/>
          <w:b w:val="false"/>
          <w:i w:val="false"/>
          <w:color w:val="000000"/>
          <w:sz w:val="28"/>
        </w:rPr>
        <w:t>
      17. Почвенное обследование выбранного ключевого участка проводится в масштабе 1:2000 на основании топографической съемки с сечением горизонталей через 0,5 метра (далее – м) с использованием фотопланов, контактных аэроснимков.</w:t>
      </w:r>
    </w:p>
    <w:bookmarkEnd w:id="50"/>
    <w:bookmarkStart w:name="z57" w:id="51"/>
    <w:p>
      <w:pPr>
        <w:spacing w:after="0"/>
        <w:ind w:left="0"/>
        <w:jc w:val="both"/>
      </w:pPr>
      <w:r>
        <w:rPr>
          <w:rFonts w:ascii="Times New Roman"/>
          <w:b w:val="false"/>
          <w:i w:val="false"/>
          <w:color w:val="000000"/>
          <w:sz w:val="28"/>
        </w:rPr>
        <w:t>
      18. Среднее количество почвенных выработок (разрезов) на ключевом участке выбирается из расчета 1 разрез на 4,0 гектара (далее – га), в том числе 5 основных разрезов глубиной 2 м и 20 полуям глубиной 1 м.</w:t>
      </w:r>
    </w:p>
    <w:bookmarkEnd w:id="51"/>
    <w:bookmarkStart w:name="z58" w:id="52"/>
    <w:p>
      <w:pPr>
        <w:spacing w:after="0"/>
        <w:ind w:left="0"/>
        <w:jc w:val="both"/>
      </w:pPr>
      <w:r>
        <w:rPr>
          <w:rFonts w:ascii="Times New Roman"/>
          <w:b w:val="false"/>
          <w:i w:val="false"/>
          <w:color w:val="000000"/>
          <w:sz w:val="28"/>
        </w:rPr>
        <w:t>
      19. На каждом ключевом участке в процессе детального почвенного обследования отбираются для наблюдений до 3 СПН.</w:t>
      </w:r>
    </w:p>
    <w:bookmarkEnd w:id="52"/>
    <w:bookmarkStart w:name="z59" w:id="53"/>
    <w:p>
      <w:pPr>
        <w:spacing w:after="0"/>
        <w:ind w:left="0"/>
        <w:jc w:val="both"/>
      </w:pPr>
      <w:r>
        <w:rPr>
          <w:rFonts w:ascii="Times New Roman"/>
          <w:b w:val="false"/>
          <w:i w:val="false"/>
          <w:color w:val="000000"/>
          <w:sz w:val="28"/>
        </w:rPr>
        <w:t>
      20. Окончательный отбор СПН проводится по сведениям (данным) почвенной съемки на ключевом участке площадью 1 га. Допускается отбор СПН без предварительного почвенного обследования ключевого участка.</w:t>
      </w:r>
    </w:p>
    <w:bookmarkEnd w:id="53"/>
    <w:bookmarkStart w:name="z60" w:id="54"/>
    <w:p>
      <w:pPr>
        <w:spacing w:after="0"/>
        <w:ind w:left="0"/>
        <w:jc w:val="both"/>
      </w:pPr>
      <w:r>
        <w:rPr>
          <w:rFonts w:ascii="Times New Roman"/>
          <w:b w:val="false"/>
          <w:i w:val="false"/>
          <w:color w:val="000000"/>
          <w:sz w:val="28"/>
        </w:rPr>
        <w:t xml:space="preserve">
      21. Выбор места заложения СПН и ПСПН согласовывается с собственником земельного участка или землепользователем, уполномоченным органом по земельным отношениям района и по итогам составляется акт отбора ключевого участка, стационарных и полустационарных пунктов наблюдений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4"/>
    <w:bookmarkStart w:name="z61" w:id="55"/>
    <w:p>
      <w:pPr>
        <w:spacing w:after="0"/>
        <w:ind w:left="0"/>
        <w:jc w:val="both"/>
      </w:pPr>
      <w:r>
        <w:rPr>
          <w:rFonts w:ascii="Times New Roman"/>
          <w:b w:val="false"/>
          <w:i w:val="false"/>
          <w:color w:val="000000"/>
          <w:sz w:val="28"/>
        </w:rPr>
        <w:t>
      22. В среднем одна СПН или ПСПН охватывает территорию площадью 100 тысяч га с учетом всех сельскохозяйственных угодий. На богарных пахотных землях сгущается сеть СПН и ПСПН с охватом каждого кадастрового квартала, на небольших по площади пахотных угодьях – по одной площадке на каждой из пяти доминирующих почвенных разновидностей зоны. Во всех областях каждая почвенная зона, независимо от занимаемой площади пашни, характеризуется пунктом наблюдений. На естественных угодьях в черноземной и каштановой зоне пункты наблюдений закладывают на 100 тысяч га, в полупустынных и пустынных районах сеть пунктов наблюдений закладывают соответственно на 200 и 300 тысяч га.</w:t>
      </w:r>
    </w:p>
    <w:bookmarkEnd w:id="55"/>
    <w:bookmarkStart w:name="z62" w:id="56"/>
    <w:p>
      <w:pPr>
        <w:spacing w:after="0"/>
        <w:ind w:left="0"/>
        <w:jc w:val="both"/>
      </w:pPr>
      <w:r>
        <w:rPr>
          <w:rFonts w:ascii="Times New Roman"/>
          <w:b w:val="false"/>
          <w:i w:val="false"/>
          <w:color w:val="000000"/>
          <w:sz w:val="28"/>
        </w:rPr>
        <w:t xml:space="preserve">
      23. СПН и ПСПН закладываются на участках с однородным почвенным покровом в квадратной или прямоугольной форме площадью не менее 1 га и их конфигурация имеет инструментальную привязку. </w:t>
      </w:r>
    </w:p>
    <w:bookmarkEnd w:id="56"/>
    <w:bookmarkStart w:name="z63" w:id="57"/>
    <w:p>
      <w:pPr>
        <w:spacing w:after="0"/>
        <w:ind w:left="0"/>
        <w:jc w:val="both"/>
      </w:pPr>
      <w:r>
        <w:rPr>
          <w:rFonts w:ascii="Times New Roman"/>
          <w:b w:val="false"/>
          <w:i w:val="false"/>
          <w:color w:val="000000"/>
          <w:sz w:val="28"/>
        </w:rPr>
        <w:t xml:space="preserve">
      24. Каждому заложенному СПН и ПСПН присваивается код по схеме 00-000-000-000-000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марта 2015 года № 188 "Об утверждении Перечня кодов, присваиваемых областям, городам республиканского значения, столице, районам и городам областного (районного) значения для целей формирования кадастровых номеров земельных участков" (зарегистрирован в Реестре государственной регистрации нормативных правовых актов № 10672). Три последние цифры схемы обозначают порядковый номер СПН или ПСПН. На СПН и ПСПН составляется паспорт стационарного (полустационарного) пункта наблюдений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w:t>
      </w:r>
    </w:p>
    <w:bookmarkEnd w:id="57"/>
    <w:bookmarkStart w:name="z64" w:id="58"/>
    <w:p>
      <w:pPr>
        <w:spacing w:after="0"/>
        <w:ind w:left="0"/>
        <w:jc w:val="both"/>
      </w:pPr>
      <w:r>
        <w:rPr>
          <w:rFonts w:ascii="Times New Roman"/>
          <w:b w:val="false"/>
          <w:i w:val="false"/>
          <w:color w:val="000000"/>
          <w:sz w:val="28"/>
        </w:rPr>
        <w:t>
      25. Изыскательские работы на ПСПН при первом этапе полевого периода проводятся без предварительной почвенной съемки на ключевом участке.</w:t>
      </w:r>
    </w:p>
    <w:bookmarkEnd w:id="58"/>
    <w:bookmarkStart w:name="z65" w:id="59"/>
    <w:p>
      <w:pPr>
        <w:spacing w:after="0"/>
        <w:ind w:left="0"/>
        <w:jc w:val="both"/>
      </w:pPr>
      <w:r>
        <w:rPr>
          <w:rFonts w:ascii="Times New Roman"/>
          <w:b w:val="false"/>
          <w:i w:val="false"/>
          <w:color w:val="000000"/>
          <w:sz w:val="28"/>
        </w:rPr>
        <w:t>
      26. Инструментальная привязка СПН и ПСПН производится к стабильным местным ориентирам.</w:t>
      </w:r>
    </w:p>
    <w:bookmarkEnd w:id="59"/>
    <w:bookmarkStart w:name="z66" w:id="60"/>
    <w:p>
      <w:pPr>
        <w:spacing w:after="0"/>
        <w:ind w:left="0"/>
        <w:jc w:val="both"/>
      </w:pPr>
      <w:r>
        <w:rPr>
          <w:rFonts w:ascii="Times New Roman"/>
          <w:b w:val="false"/>
          <w:i w:val="false"/>
          <w:color w:val="000000"/>
          <w:sz w:val="28"/>
        </w:rPr>
        <w:t>
      27. На СПН и ПСПН закладываются 5 основных разрезов глубиной до 1 м методом конверта, с добуриванием центрального разреза до 2 м.</w:t>
      </w:r>
    </w:p>
    <w:bookmarkEnd w:id="60"/>
    <w:bookmarkStart w:name="z67" w:id="61"/>
    <w:p>
      <w:pPr>
        <w:spacing w:after="0"/>
        <w:ind w:left="0"/>
        <w:jc w:val="both"/>
      </w:pPr>
      <w:r>
        <w:rPr>
          <w:rFonts w:ascii="Times New Roman"/>
          <w:b w:val="false"/>
          <w:i w:val="false"/>
          <w:color w:val="000000"/>
          <w:sz w:val="28"/>
        </w:rPr>
        <w:t>
      28. Отбор образцов почвенных проб массой 0,5 килограмм из основных разрезов на ключевом участке, СПН и ПСПН производится ленточным способом из всей мощности генетического горизонта, а в пахотном слое – с интервалом в 10 сантиметров (далее – см). При первичном обследовании плотность (объемный вес) определяется во всех генетических горизонтах в одном из разрезов в трехкратной повторности.</w:t>
      </w:r>
    </w:p>
    <w:bookmarkEnd w:id="61"/>
    <w:bookmarkStart w:name="z68" w:id="62"/>
    <w:p>
      <w:pPr>
        <w:spacing w:after="0"/>
        <w:ind w:left="0"/>
        <w:jc w:val="both"/>
      </w:pPr>
      <w:r>
        <w:rPr>
          <w:rFonts w:ascii="Times New Roman"/>
          <w:b w:val="false"/>
          <w:i w:val="false"/>
          <w:color w:val="000000"/>
          <w:sz w:val="28"/>
        </w:rPr>
        <w:t>
      29. Все пробы почв нумеруются, на каждую пробу заполняется этикетка почвенного образца. При отборе проб почв, хранении, транспортировке и подготовке к лабораторному анализу строго выполняют условия, исключающие возможность их загрязнения.</w:t>
      </w:r>
    </w:p>
    <w:bookmarkEnd w:id="62"/>
    <w:bookmarkStart w:name="z69" w:id="63"/>
    <w:p>
      <w:pPr>
        <w:spacing w:after="0"/>
        <w:ind w:left="0"/>
        <w:jc w:val="both"/>
      </w:pPr>
      <w:r>
        <w:rPr>
          <w:rFonts w:ascii="Times New Roman"/>
          <w:b w:val="false"/>
          <w:i w:val="false"/>
          <w:color w:val="000000"/>
          <w:sz w:val="28"/>
        </w:rPr>
        <w:t>
      30. На орошаемых землях дополнительно проводятся работы по изучению водно-физических свойств почв, приурочивая опытную площадку к одному из 5 почвенных разрезов.</w:t>
      </w:r>
    </w:p>
    <w:bookmarkEnd w:id="63"/>
    <w:bookmarkStart w:name="z70" w:id="64"/>
    <w:p>
      <w:pPr>
        <w:spacing w:after="0"/>
        <w:ind w:left="0"/>
        <w:jc w:val="both"/>
      </w:pPr>
      <w:r>
        <w:rPr>
          <w:rFonts w:ascii="Times New Roman"/>
          <w:b w:val="false"/>
          <w:i w:val="false"/>
          <w:color w:val="000000"/>
          <w:sz w:val="28"/>
        </w:rPr>
        <w:t>
      31. На засоленных почвах производится комплекс работ по изучению промываемости метровой толщи от воднорастворимых солей.</w:t>
      </w:r>
    </w:p>
    <w:bookmarkEnd w:id="64"/>
    <w:bookmarkStart w:name="z71" w:id="65"/>
    <w:p>
      <w:pPr>
        <w:spacing w:after="0"/>
        <w:ind w:left="0"/>
        <w:jc w:val="both"/>
      </w:pPr>
      <w:r>
        <w:rPr>
          <w:rFonts w:ascii="Times New Roman"/>
          <w:b w:val="false"/>
          <w:i w:val="false"/>
          <w:color w:val="000000"/>
          <w:sz w:val="28"/>
        </w:rPr>
        <w:t>
      32. В месте заложения опытной площадки по изучению водно-физических свойств почв производится учет урожайности сельскохозяйственных культур (на пашне).</w:t>
      </w:r>
    </w:p>
    <w:bookmarkEnd w:id="65"/>
    <w:bookmarkStart w:name="z72" w:id="66"/>
    <w:p>
      <w:pPr>
        <w:spacing w:after="0"/>
        <w:ind w:left="0"/>
        <w:jc w:val="both"/>
      </w:pPr>
      <w:r>
        <w:rPr>
          <w:rFonts w:ascii="Times New Roman"/>
          <w:b w:val="false"/>
          <w:i w:val="false"/>
          <w:color w:val="000000"/>
          <w:sz w:val="28"/>
        </w:rPr>
        <w:t>
      33. Периодичность многолетних наблюдений, в зависимости от динамичности наблюдаемых показателей, на СПН – один раз в 1-3 года, на ПСПН – один раз в 5 лет. На залежи СПН и ПСПН закладываются через 5-10 лет, на естественных угодьях – через 10-15 лет.</w:t>
      </w:r>
    </w:p>
    <w:bookmarkEnd w:id="66"/>
    <w:bookmarkStart w:name="z73" w:id="67"/>
    <w:p>
      <w:pPr>
        <w:spacing w:after="0"/>
        <w:ind w:left="0"/>
        <w:jc w:val="both"/>
      </w:pPr>
      <w:r>
        <w:rPr>
          <w:rFonts w:ascii="Times New Roman"/>
          <w:b w:val="false"/>
          <w:i w:val="false"/>
          <w:color w:val="000000"/>
          <w:sz w:val="28"/>
        </w:rPr>
        <w:t>
      34. Полученные при первичном обследовании результаты являются базой отсчета для ведения многолетних режимных наблюдений на заложенных СПН и ПСПН, проводимых с целью установления динамики почвенных показателей во времени.</w:t>
      </w:r>
    </w:p>
    <w:bookmarkEnd w:id="67"/>
    <w:bookmarkStart w:name="z74" w:id="68"/>
    <w:p>
      <w:pPr>
        <w:spacing w:after="0"/>
        <w:ind w:left="0"/>
        <w:jc w:val="both"/>
      </w:pPr>
      <w:r>
        <w:rPr>
          <w:rFonts w:ascii="Times New Roman"/>
          <w:b w:val="false"/>
          <w:i w:val="false"/>
          <w:color w:val="000000"/>
          <w:sz w:val="28"/>
        </w:rPr>
        <w:t>
      35. При проведении повторных обследований из 5 почвенных разрезов, заложенных методом конверта, отбираются из генетических горизонтов ленточным способом индивидуальные (точечные) образцы. Проводятся физико-химическое и морфологическое описание заложенных разрезов и среднего гипотетического разреза.</w:t>
      </w:r>
    </w:p>
    <w:bookmarkEnd w:id="68"/>
    <w:bookmarkStart w:name="z75" w:id="69"/>
    <w:p>
      <w:pPr>
        <w:spacing w:after="0"/>
        <w:ind w:left="0"/>
        <w:jc w:val="both"/>
      </w:pPr>
      <w:r>
        <w:rPr>
          <w:rFonts w:ascii="Times New Roman"/>
          <w:b w:val="false"/>
          <w:i w:val="false"/>
          <w:color w:val="000000"/>
          <w:sz w:val="28"/>
        </w:rPr>
        <w:t>
      При повторных обследованиях для характеристики плотности сложения почв в ранее определяемом разрезе этого показателя проводится определение в трехкратной повторности не по горизонтам, а через каждые 10 см, до глубины 50 см. Образцы ненарушенного сложения отбираются прибором кольца Качинского.</w:t>
      </w:r>
    </w:p>
    <w:bookmarkEnd w:id="69"/>
    <w:bookmarkStart w:name="z76" w:id="70"/>
    <w:p>
      <w:pPr>
        <w:spacing w:after="0"/>
        <w:ind w:left="0"/>
        <w:jc w:val="both"/>
      </w:pPr>
      <w:r>
        <w:rPr>
          <w:rFonts w:ascii="Times New Roman"/>
          <w:b w:val="false"/>
          <w:i w:val="false"/>
          <w:color w:val="000000"/>
          <w:sz w:val="28"/>
        </w:rPr>
        <w:t>
      36. На схему ключевого участка, СПН и ПСПН наносится расположение точек картирования и наблюдений.</w:t>
      </w:r>
    </w:p>
    <w:bookmarkEnd w:id="70"/>
    <w:bookmarkStart w:name="z77" w:id="71"/>
    <w:p>
      <w:pPr>
        <w:spacing w:after="0"/>
        <w:ind w:left="0"/>
        <w:jc w:val="both"/>
      </w:pPr>
      <w:r>
        <w:rPr>
          <w:rFonts w:ascii="Times New Roman"/>
          <w:b w:val="false"/>
          <w:i w:val="false"/>
          <w:color w:val="000000"/>
          <w:sz w:val="28"/>
        </w:rPr>
        <w:t>
      37. На СПН и ПСПН определяются:</w:t>
      </w:r>
    </w:p>
    <w:bookmarkEnd w:id="71"/>
    <w:bookmarkStart w:name="z78" w:id="72"/>
    <w:p>
      <w:pPr>
        <w:spacing w:after="0"/>
        <w:ind w:left="0"/>
        <w:jc w:val="both"/>
      </w:pPr>
      <w:r>
        <w:rPr>
          <w:rFonts w:ascii="Times New Roman"/>
          <w:b w:val="false"/>
          <w:i w:val="false"/>
          <w:color w:val="000000"/>
          <w:sz w:val="28"/>
        </w:rPr>
        <w:t>
      1) морфологические свойства почв (мощность генетических горизонтов, их цвет, плотность, структура, характер вскипания от 10 % соляной кислоты, наличие и глубина появления солей, карбонатов, гипса, солонцеватости, интенсивности гумусированности слоев, наличие признаков оглеения и ожелезнения, динамика механического состава по профилю, глубины сосредоточения максимумов новообразований);</w:t>
      </w:r>
    </w:p>
    <w:bookmarkEnd w:id="72"/>
    <w:bookmarkStart w:name="z79" w:id="73"/>
    <w:p>
      <w:pPr>
        <w:spacing w:after="0"/>
        <w:ind w:left="0"/>
        <w:jc w:val="both"/>
      </w:pPr>
      <w:r>
        <w:rPr>
          <w:rFonts w:ascii="Times New Roman"/>
          <w:b w:val="false"/>
          <w:i w:val="false"/>
          <w:color w:val="000000"/>
          <w:sz w:val="28"/>
        </w:rPr>
        <w:t>
      2) водно-физические свойства почв (водопроницаемость при полевой влажности, при влажности очередного вегетационного полива, плотность сложения при полевой влажности и предельной полевой влагоемкости, естественная (полевая) влажность, предельная полевая влагоемкость (далее – ППВ);</w:t>
      </w:r>
    </w:p>
    <w:bookmarkEnd w:id="73"/>
    <w:bookmarkStart w:name="z80" w:id="74"/>
    <w:p>
      <w:pPr>
        <w:spacing w:after="0"/>
        <w:ind w:left="0"/>
        <w:jc w:val="both"/>
      </w:pPr>
      <w:r>
        <w:rPr>
          <w:rFonts w:ascii="Times New Roman"/>
          <w:b w:val="false"/>
          <w:i w:val="false"/>
          <w:color w:val="000000"/>
          <w:sz w:val="28"/>
        </w:rPr>
        <w:t>
      3) уровень грунтовых вод, их минерализация;</w:t>
      </w:r>
    </w:p>
    <w:bookmarkEnd w:id="74"/>
    <w:bookmarkStart w:name="z81" w:id="75"/>
    <w:p>
      <w:pPr>
        <w:spacing w:after="0"/>
        <w:ind w:left="0"/>
        <w:jc w:val="both"/>
      </w:pPr>
      <w:r>
        <w:rPr>
          <w:rFonts w:ascii="Times New Roman"/>
          <w:b w:val="false"/>
          <w:i w:val="false"/>
          <w:color w:val="000000"/>
          <w:sz w:val="28"/>
        </w:rPr>
        <w:t>
      4) агротехнические показатели (виды вспашек, глубина, возделываемые культуры, их сортность, урожайность, виды и объем вносимых удобрений);</w:t>
      </w:r>
    </w:p>
    <w:bookmarkEnd w:id="75"/>
    <w:bookmarkStart w:name="z82" w:id="76"/>
    <w:p>
      <w:pPr>
        <w:spacing w:after="0"/>
        <w:ind w:left="0"/>
        <w:jc w:val="both"/>
      </w:pPr>
      <w:r>
        <w:rPr>
          <w:rFonts w:ascii="Times New Roman"/>
          <w:b w:val="false"/>
          <w:i w:val="false"/>
          <w:color w:val="000000"/>
          <w:sz w:val="28"/>
        </w:rPr>
        <w:t>
      5) характер проведенных мелиоративных мероприятий (вид мелиорации, сроки проведения, нормы внесения мелиорантов, глубины обработок);</w:t>
      </w:r>
    </w:p>
    <w:bookmarkEnd w:id="76"/>
    <w:bookmarkStart w:name="z83" w:id="77"/>
    <w:p>
      <w:pPr>
        <w:spacing w:after="0"/>
        <w:ind w:left="0"/>
        <w:jc w:val="both"/>
      </w:pPr>
      <w:r>
        <w:rPr>
          <w:rFonts w:ascii="Times New Roman"/>
          <w:b w:val="false"/>
          <w:i w:val="false"/>
          <w:color w:val="000000"/>
          <w:sz w:val="28"/>
        </w:rPr>
        <w:t>
      6) концентрация тяжелых металлов, остаточных количеств пестицидов, радионуклидов;</w:t>
      </w:r>
    </w:p>
    <w:bookmarkEnd w:id="77"/>
    <w:bookmarkStart w:name="z84" w:id="78"/>
    <w:p>
      <w:pPr>
        <w:spacing w:after="0"/>
        <w:ind w:left="0"/>
        <w:jc w:val="both"/>
      </w:pPr>
      <w:r>
        <w:rPr>
          <w:rFonts w:ascii="Times New Roman"/>
          <w:b w:val="false"/>
          <w:i w:val="false"/>
          <w:color w:val="000000"/>
          <w:sz w:val="28"/>
        </w:rPr>
        <w:t>
      7) метеорологические данные на период проведения работ.</w:t>
      </w:r>
    </w:p>
    <w:bookmarkEnd w:id="78"/>
    <w:bookmarkStart w:name="z85" w:id="79"/>
    <w:p>
      <w:pPr>
        <w:spacing w:after="0"/>
        <w:ind w:left="0"/>
        <w:jc w:val="both"/>
      </w:pPr>
      <w:r>
        <w:rPr>
          <w:rFonts w:ascii="Times New Roman"/>
          <w:b w:val="false"/>
          <w:i w:val="false"/>
          <w:color w:val="000000"/>
          <w:sz w:val="28"/>
        </w:rPr>
        <w:t>
      38. Ежегодно на СПН (в поле) определяются наиболее мобильные параметры почвообразовательного процесса:</w:t>
      </w:r>
    </w:p>
    <w:bookmarkEnd w:id="79"/>
    <w:bookmarkStart w:name="z86" w:id="80"/>
    <w:p>
      <w:pPr>
        <w:spacing w:after="0"/>
        <w:ind w:left="0"/>
        <w:jc w:val="both"/>
      </w:pPr>
      <w:r>
        <w:rPr>
          <w:rFonts w:ascii="Times New Roman"/>
          <w:b w:val="false"/>
          <w:i w:val="false"/>
          <w:color w:val="000000"/>
          <w:sz w:val="28"/>
        </w:rPr>
        <w:t>
      1) засоление;</w:t>
      </w:r>
    </w:p>
    <w:bookmarkEnd w:id="80"/>
    <w:bookmarkStart w:name="z87" w:id="81"/>
    <w:p>
      <w:pPr>
        <w:spacing w:after="0"/>
        <w:ind w:left="0"/>
        <w:jc w:val="both"/>
      </w:pPr>
      <w:r>
        <w:rPr>
          <w:rFonts w:ascii="Times New Roman"/>
          <w:b w:val="false"/>
          <w:i w:val="false"/>
          <w:color w:val="000000"/>
          <w:sz w:val="28"/>
        </w:rPr>
        <w:t>
      2) карбонатность;</w:t>
      </w:r>
    </w:p>
    <w:bookmarkEnd w:id="81"/>
    <w:bookmarkStart w:name="z88" w:id="82"/>
    <w:p>
      <w:pPr>
        <w:spacing w:after="0"/>
        <w:ind w:left="0"/>
        <w:jc w:val="both"/>
      </w:pPr>
      <w:r>
        <w:rPr>
          <w:rFonts w:ascii="Times New Roman"/>
          <w:b w:val="false"/>
          <w:i w:val="false"/>
          <w:color w:val="000000"/>
          <w:sz w:val="28"/>
        </w:rPr>
        <w:t>
      3) реакция почвенного раствора (рН);</w:t>
      </w:r>
    </w:p>
    <w:bookmarkEnd w:id="82"/>
    <w:bookmarkStart w:name="z89" w:id="83"/>
    <w:p>
      <w:pPr>
        <w:spacing w:after="0"/>
        <w:ind w:left="0"/>
        <w:jc w:val="both"/>
      </w:pPr>
      <w:r>
        <w:rPr>
          <w:rFonts w:ascii="Times New Roman"/>
          <w:b w:val="false"/>
          <w:i w:val="false"/>
          <w:color w:val="000000"/>
          <w:sz w:val="28"/>
        </w:rPr>
        <w:t>
      4) гипс;</w:t>
      </w:r>
    </w:p>
    <w:bookmarkEnd w:id="83"/>
    <w:bookmarkStart w:name="z90" w:id="84"/>
    <w:p>
      <w:pPr>
        <w:spacing w:after="0"/>
        <w:ind w:left="0"/>
        <w:jc w:val="both"/>
      </w:pPr>
      <w:r>
        <w:rPr>
          <w:rFonts w:ascii="Times New Roman"/>
          <w:b w:val="false"/>
          <w:i w:val="false"/>
          <w:color w:val="000000"/>
          <w:sz w:val="28"/>
        </w:rPr>
        <w:t>
      5) солонцеватость (на мелиорируемых участках);</w:t>
      </w:r>
    </w:p>
    <w:bookmarkEnd w:id="84"/>
    <w:bookmarkStart w:name="z91" w:id="85"/>
    <w:p>
      <w:pPr>
        <w:spacing w:after="0"/>
        <w:ind w:left="0"/>
        <w:jc w:val="both"/>
      </w:pPr>
      <w:r>
        <w:rPr>
          <w:rFonts w:ascii="Times New Roman"/>
          <w:b w:val="false"/>
          <w:i w:val="false"/>
          <w:color w:val="000000"/>
          <w:sz w:val="28"/>
        </w:rPr>
        <w:t>
      6) гумусированность;</w:t>
      </w:r>
    </w:p>
    <w:bookmarkEnd w:id="85"/>
    <w:bookmarkStart w:name="z92" w:id="86"/>
    <w:p>
      <w:pPr>
        <w:spacing w:after="0"/>
        <w:ind w:left="0"/>
        <w:jc w:val="both"/>
      </w:pPr>
      <w:r>
        <w:rPr>
          <w:rFonts w:ascii="Times New Roman"/>
          <w:b w:val="false"/>
          <w:i w:val="false"/>
          <w:color w:val="000000"/>
          <w:sz w:val="28"/>
        </w:rPr>
        <w:t>
      7) полевая влажность;</w:t>
      </w:r>
    </w:p>
    <w:bookmarkEnd w:id="86"/>
    <w:bookmarkStart w:name="z93" w:id="87"/>
    <w:p>
      <w:pPr>
        <w:spacing w:after="0"/>
        <w:ind w:left="0"/>
        <w:jc w:val="both"/>
      </w:pPr>
      <w:r>
        <w:rPr>
          <w:rFonts w:ascii="Times New Roman"/>
          <w:b w:val="false"/>
          <w:i w:val="false"/>
          <w:color w:val="000000"/>
          <w:sz w:val="28"/>
        </w:rPr>
        <w:t>
      8) вид сельскохозяйственных культур, их сортность, урожайность;</w:t>
      </w:r>
    </w:p>
    <w:bookmarkEnd w:id="87"/>
    <w:bookmarkStart w:name="z94" w:id="88"/>
    <w:p>
      <w:pPr>
        <w:spacing w:after="0"/>
        <w:ind w:left="0"/>
        <w:jc w:val="both"/>
      </w:pPr>
      <w:r>
        <w:rPr>
          <w:rFonts w:ascii="Times New Roman"/>
          <w:b w:val="false"/>
          <w:i w:val="false"/>
          <w:color w:val="000000"/>
          <w:sz w:val="28"/>
        </w:rPr>
        <w:t>
      9) объем и вид вносимых удобрений;</w:t>
      </w:r>
    </w:p>
    <w:bookmarkEnd w:id="88"/>
    <w:bookmarkStart w:name="z95" w:id="89"/>
    <w:p>
      <w:pPr>
        <w:spacing w:after="0"/>
        <w:ind w:left="0"/>
        <w:jc w:val="both"/>
      </w:pPr>
      <w:r>
        <w:rPr>
          <w:rFonts w:ascii="Times New Roman"/>
          <w:b w:val="false"/>
          <w:i w:val="false"/>
          <w:color w:val="000000"/>
          <w:sz w:val="28"/>
        </w:rPr>
        <w:t>
      10) количество осадков, их интенсивность, сумма активных температур за вегетационный период;</w:t>
      </w:r>
    </w:p>
    <w:bookmarkEnd w:id="89"/>
    <w:bookmarkStart w:name="z96" w:id="90"/>
    <w:p>
      <w:pPr>
        <w:spacing w:after="0"/>
        <w:ind w:left="0"/>
        <w:jc w:val="both"/>
      </w:pPr>
      <w:r>
        <w:rPr>
          <w:rFonts w:ascii="Times New Roman"/>
          <w:b w:val="false"/>
          <w:i w:val="false"/>
          <w:color w:val="000000"/>
          <w:sz w:val="28"/>
        </w:rPr>
        <w:t>
      11) общая мощность гумусового горизонта А+В1;</w:t>
      </w:r>
    </w:p>
    <w:bookmarkEnd w:id="90"/>
    <w:bookmarkStart w:name="z97" w:id="91"/>
    <w:p>
      <w:pPr>
        <w:spacing w:after="0"/>
        <w:ind w:left="0"/>
        <w:jc w:val="both"/>
      </w:pPr>
      <w:r>
        <w:rPr>
          <w:rFonts w:ascii="Times New Roman"/>
          <w:b w:val="false"/>
          <w:i w:val="false"/>
          <w:color w:val="000000"/>
          <w:sz w:val="28"/>
        </w:rPr>
        <w:t>
      12) запас продуктивной влаги в корнеобитаемом слое.</w:t>
      </w:r>
    </w:p>
    <w:bookmarkEnd w:id="91"/>
    <w:bookmarkStart w:name="z98" w:id="92"/>
    <w:p>
      <w:pPr>
        <w:spacing w:after="0"/>
        <w:ind w:left="0"/>
        <w:jc w:val="both"/>
      </w:pPr>
      <w:r>
        <w:rPr>
          <w:rFonts w:ascii="Times New Roman"/>
          <w:b w:val="false"/>
          <w:i w:val="false"/>
          <w:color w:val="000000"/>
          <w:sz w:val="28"/>
        </w:rPr>
        <w:t>
      39. На отдельных ПСПН выполняются периодические наблюдения по узкому тематическому направлению:</w:t>
      </w:r>
    </w:p>
    <w:bookmarkEnd w:id="92"/>
    <w:bookmarkStart w:name="z99" w:id="93"/>
    <w:p>
      <w:pPr>
        <w:spacing w:after="0"/>
        <w:ind w:left="0"/>
        <w:jc w:val="both"/>
      </w:pPr>
      <w:r>
        <w:rPr>
          <w:rFonts w:ascii="Times New Roman"/>
          <w:b w:val="false"/>
          <w:i w:val="false"/>
          <w:color w:val="000000"/>
          <w:sz w:val="28"/>
        </w:rPr>
        <w:t>
      1) долгосрочный контроль за содержанием в почвах элементов питания растений (гумуса, подвижных и валовых форм азота, фосфора, калия) с составлением прогнозных картограмм обеспеченности почв питательными веществами;</w:t>
      </w:r>
    </w:p>
    <w:bookmarkEnd w:id="93"/>
    <w:bookmarkStart w:name="z100" w:id="94"/>
    <w:p>
      <w:pPr>
        <w:spacing w:after="0"/>
        <w:ind w:left="0"/>
        <w:jc w:val="both"/>
      </w:pPr>
      <w:r>
        <w:rPr>
          <w:rFonts w:ascii="Times New Roman"/>
          <w:b w:val="false"/>
          <w:i w:val="false"/>
          <w:color w:val="000000"/>
          <w:sz w:val="28"/>
        </w:rPr>
        <w:t>
      2) многолетние ежегодные наблюдения за ходом мелиоративного последствия мелиорируемых почв (солонцов, засоленных почв, переувлажненных). Комплекс определяемых почвенных параметров обосновывается видом мелиорации, исходными свойствами почв;</w:t>
      </w:r>
    </w:p>
    <w:bookmarkEnd w:id="94"/>
    <w:bookmarkStart w:name="z101" w:id="95"/>
    <w:p>
      <w:pPr>
        <w:spacing w:after="0"/>
        <w:ind w:left="0"/>
        <w:jc w:val="both"/>
      </w:pPr>
      <w:r>
        <w:rPr>
          <w:rFonts w:ascii="Times New Roman"/>
          <w:b w:val="false"/>
          <w:i w:val="false"/>
          <w:color w:val="000000"/>
          <w:sz w:val="28"/>
        </w:rPr>
        <w:t>
      3) долгосрочные разовые (через 5 лет) наблюдения за загрязненностью почв тяжелыми металлами, радионуклидами, пестицидами в зонах экологических бедствий.</w:t>
      </w:r>
    </w:p>
    <w:bookmarkEnd w:id="95"/>
    <w:bookmarkStart w:name="z102" w:id="96"/>
    <w:p>
      <w:pPr>
        <w:spacing w:after="0"/>
        <w:ind w:left="0"/>
        <w:jc w:val="left"/>
      </w:pPr>
      <w:r>
        <w:rPr>
          <w:rFonts w:ascii="Times New Roman"/>
          <w:b/>
          <w:i w:val="false"/>
          <w:color w:val="000000"/>
        </w:rPr>
        <w:t xml:space="preserve"> Параграф 3. Камеральный период</w:t>
      </w:r>
    </w:p>
    <w:bookmarkEnd w:id="96"/>
    <w:bookmarkStart w:name="z103" w:id="97"/>
    <w:p>
      <w:pPr>
        <w:spacing w:after="0"/>
        <w:ind w:left="0"/>
        <w:jc w:val="both"/>
      </w:pPr>
      <w:r>
        <w:rPr>
          <w:rFonts w:ascii="Times New Roman"/>
          <w:b w:val="false"/>
          <w:i w:val="false"/>
          <w:color w:val="000000"/>
          <w:sz w:val="28"/>
        </w:rPr>
        <w:t>
      40. В камеральный период проводятся лабораторные исследования, обработка сведений (данных) полевого периода и результатов лабораторных исследований.</w:t>
      </w:r>
    </w:p>
    <w:bookmarkEnd w:id="97"/>
    <w:bookmarkStart w:name="z104" w:id="98"/>
    <w:p>
      <w:pPr>
        <w:spacing w:after="0"/>
        <w:ind w:left="0"/>
        <w:jc w:val="both"/>
      </w:pPr>
      <w:r>
        <w:rPr>
          <w:rFonts w:ascii="Times New Roman"/>
          <w:b w:val="false"/>
          <w:i w:val="false"/>
          <w:color w:val="000000"/>
          <w:sz w:val="28"/>
        </w:rPr>
        <w:t>
      41. В результате лабораторных исследований определяются следующие физико-химические характеристики почв и грунтов:</w:t>
      </w:r>
    </w:p>
    <w:bookmarkEnd w:id="98"/>
    <w:bookmarkStart w:name="z105" w:id="99"/>
    <w:p>
      <w:pPr>
        <w:spacing w:after="0"/>
        <w:ind w:left="0"/>
        <w:jc w:val="both"/>
      </w:pPr>
      <w:r>
        <w:rPr>
          <w:rFonts w:ascii="Times New Roman"/>
          <w:b w:val="false"/>
          <w:i w:val="false"/>
          <w:color w:val="000000"/>
          <w:sz w:val="28"/>
        </w:rPr>
        <w:t>
      1) механический (гранулометрический) состав;</w:t>
      </w:r>
    </w:p>
    <w:bookmarkEnd w:id="99"/>
    <w:bookmarkStart w:name="z106" w:id="100"/>
    <w:p>
      <w:pPr>
        <w:spacing w:after="0"/>
        <w:ind w:left="0"/>
        <w:jc w:val="both"/>
      </w:pPr>
      <w:r>
        <w:rPr>
          <w:rFonts w:ascii="Times New Roman"/>
          <w:b w:val="false"/>
          <w:i w:val="false"/>
          <w:color w:val="000000"/>
          <w:sz w:val="28"/>
        </w:rPr>
        <w:t>
      2) микроагрегатный состав;</w:t>
      </w:r>
    </w:p>
    <w:bookmarkEnd w:id="100"/>
    <w:bookmarkStart w:name="z107" w:id="101"/>
    <w:p>
      <w:pPr>
        <w:spacing w:after="0"/>
        <w:ind w:left="0"/>
        <w:jc w:val="both"/>
      </w:pPr>
      <w:r>
        <w:rPr>
          <w:rFonts w:ascii="Times New Roman"/>
          <w:b w:val="false"/>
          <w:i w:val="false"/>
          <w:color w:val="000000"/>
          <w:sz w:val="28"/>
        </w:rPr>
        <w:t>
      3) удельный вес;</w:t>
      </w:r>
    </w:p>
    <w:bookmarkEnd w:id="101"/>
    <w:bookmarkStart w:name="z108" w:id="102"/>
    <w:p>
      <w:pPr>
        <w:spacing w:after="0"/>
        <w:ind w:left="0"/>
        <w:jc w:val="both"/>
      </w:pPr>
      <w:r>
        <w:rPr>
          <w:rFonts w:ascii="Times New Roman"/>
          <w:b w:val="false"/>
          <w:i w:val="false"/>
          <w:color w:val="000000"/>
          <w:sz w:val="28"/>
        </w:rPr>
        <w:t>
      4) максимальная гигроскопичность;</w:t>
      </w:r>
    </w:p>
    <w:bookmarkEnd w:id="102"/>
    <w:bookmarkStart w:name="z109" w:id="103"/>
    <w:p>
      <w:pPr>
        <w:spacing w:after="0"/>
        <w:ind w:left="0"/>
        <w:jc w:val="both"/>
      </w:pPr>
      <w:r>
        <w:rPr>
          <w:rFonts w:ascii="Times New Roman"/>
          <w:b w:val="false"/>
          <w:i w:val="false"/>
          <w:color w:val="000000"/>
          <w:sz w:val="28"/>
        </w:rPr>
        <w:t>
      5) содержание водопрочных агрегатов (0,25-10 миллиметров);</w:t>
      </w:r>
    </w:p>
    <w:bookmarkEnd w:id="103"/>
    <w:bookmarkStart w:name="z110" w:id="104"/>
    <w:p>
      <w:pPr>
        <w:spacing w:after="0"/>
        <w:ind w:left="0"/>
        <w:jc w:val="both"/>
      </w:pPr>
      <w:r>
        <w:rPr>
          <w:rFonts w:ascii="Times New Roman"/>
          <w:b w:val="false"/>
          <w:i w:val="false"/>
          <w:color w:val="000000"/>
          <w:sz w:val="28"/>
        </w:rPr>
        <w:t>
      6) гумус;</w:t>
      </w:r>
    </w:p>
    <w:bookmarkEnd w:id="104"/>
    <w:bookmarkStart w:name="z111" w:id="105"/>
    <w:p>
      <w:pPr>
        <w:spacing w:after="0"/>
        <w:ind w:left="0"/>
        <w:jc w:val="both"/>
      </w:pPr>
      <w:r>
        <w:rPr>
          <w:rFonts w:ascii="Times New Roman"/>
          <w:b w:val="false"/>
          <w:i w:val="false"/>
          <w:color w:val="000000"/>
          <w:sz w:val="28"/>
        </w:rPr>
        <w:t>
      7) реакция почвенного раствора (рH);</w:t>
      </w:r>
    </w:p>
    <w:bookmarkEnd w:id="105"/>
    <w:bookmarkStart w:name="z112" w:id="106"/>
    <w:p>
      <w:pPr>
        <w:spacing w:after="0"/>
        <w:ind w:left="0"/>
        <w:jc w:val="both"/>
      </w:pPr>
      <w:r>
        <w:rPr>
          <w:rFonts w:ascii="Times New Roman"/>
          <w:b w:val="false"/>
          <w:i w:val="false"/>
          <w:color w:val="000000"/>
          <w:sz w:val="28"/>
        </w:rPr>
        <w:t>
      8) емкость поглощения;</w:t>
      </w:r>
    </w:p>
    <w:bookmarkEnd w:id="106"/>
    <w:bookmarkStart w:name="z113" w:id="107"/>
    <w:p>
      <w:pPr>
        <w:spacing w:after="0"/>
        <w:ind w:left="0"/>
        <w:jc w:val="both"/>
      </w:pPr>
      <w:r>
        <w:rPr>
          <w:rFonts w:ascii="Times New Roman"/>
          <w:b w:val="false"/>
          <w:i w:val="false"/>
          <w:color w:val="000000"/>
          <w:sz w:val="28"/>
        </w:rPr>
        <w:t>
      9) сумма поглощенных оснований;</w:t>
      </w:r>
    </w:p>
    <w:bookmarkEnd w:id="107"/>
    <w:bookmarkStart w:name="z114" w:id="108"/>
    <w:p>
      <w:pPr>
        <w:spacing w:after="0"/>
        <w:ind w:left="0"/>
        <w:jc w:val="both"/>
      </w:pPr>
      <w:r>
        <w:rPr>
          <w:rFonts w:ascii="Times New Roman"/>
          <w:b w:val="false"/>
          <w:i w:val="false"/>
          <w:color w:val="000000"/>
          <w:sz w:val="28"/>
        </w:rPr>
        <w:t>
      10) поглощенный натрий;</w:t>
      </w:r>
    </w:p>
    <w:bookmarkEnd w:id="108"/>
    <w:bookmarkStart w:name="z115" w:id="109"/>
    <w:p>
      <w:pPr>
        <w:spacing w:after="0"/>
        <w:ind w:left="0"/>
        <w:jc w:val="both"/>
      </w:pPr>
      <w:r>
        <w:rPr>
          <w:rFonts w:ascii="Times New Roman"/>
          <w:b w:val="false"/>
          <w:i w:val="false"/>
          <w:color w:val="000000"/>
          <w:sz w:val="28"/>
        </w:rPr>
        <w:t>
      11) углекислота;</w:t>
      </w:r>
    </w:p>
    <w:bookmarkEnd w:id="109"/>
    <w:bookmarkStart w:name="z116" w:id="110"/>
    <w:p>
      <w:pPr>
        <w:spacing w:after="0"/>
        <w:ind w:left="0"/>
        <w:jc w:val="both"/>
      </w:pPr>
      <w:r>
        <w:rPr>
          <w:rFonts w:ascii="Times New Roman"/>
          <w:b w:val="false"/>
          <w:i w:val="false"/>
          <w:color w:val="000000"/>
          <w:sz w:val="28"/>
        </w:rPr>
        <w:t>
      12) гипс;</w:t>
      </w:r>
    </w:p>
    <w:bookmarkEnd w:id="110"/>
    <w:bookmarkStart w:name="z117" w:id="111"/>
    <w:p>
      <w:pPr>
        <w:spacing w:after="0"/>
        <w:ind w:left="0"/>
        <w:jc w:val="both"/>
      </w:pPr>
      <w:r>
        <w:rPr>
          <w:rFonts w:ascii="Times New Roman"/>
          <w:b w:val="false"/>
          <w:i w:val="false"/>
          <w:color w:val="000000"/>
          <w:sz w:val="28"/>
        </w:rPr>
        <w:t>
      13) валовые азот, фосфор, калий;</w:t>
      </w:r>
    </w:p>
    <w:bookmarkEnd w:id="111"/>
    <w:bookmarkStart w:name="z118" w:id="112"/>
    <w:p>
      <w:pPr>
        <w:spacing w:after="0"/>
        <w:ind w:left="0"/>
        <w:jc w:val="both"/>
      </w:pPr>
      <w:r>
        <w:rPr>
          <w:rFonts w:ascii="Times New Roman"/>
          <w:b w:val="false"/>
          <w:i w:val="false"/>
          <w:color w:val="000000"/>
          <w:sz w:val="28"/>
        </w:rPr>
        <w:t>
      14) подвижные азот, фосфор, калий;</w:t>
      </w:r>
    </w:p>
    <w:bookmarkEnd w:id="112"/>
    <w:bookmarkStart w:name="z119" w:id="113"/>
    <w:p>
      <w:pPr>
        <w:spacing w:after="0"/>
        <w:ind w:left="0"/>
        <w:jc w:val="both"/>
      </w:pPr>
      <w:r>
        <w:rPr>
          <w:rFonts w:ascii="Times New Roman"/>
          <w:b w:val="false"/>
          <w:i w:val="false"/>
          <w:color w:val="000000"/>
          <w:sz w:val="28"/>
        </w:rPr>
        <w:t>
      15) водная вытяжка; 16) тяжелые металлы;</w:t>
      </w:r>
    </w:p>
    <w:bookmarkEnd w:id="113"/>
    <w:bookmarkStart w:name="z120" w:id="114"/>
    <w:p>
      <w:pPr>
        <w:spacing w:after="0"/>
        <w:ind w:left="0"/>
        <w:jc w:val="both"/>
      </w:pPr>
      <w:r>
        <w:rPr>
          <w:rFonts w:ascii="Times New Roman"/>
          <w:b w:val="false"/>
          <w:i w:val="false"/>
          <w:color w:val="000000"/>
          <w:sz w:val="28"/>
        </w:rPr>
        <w:t>
      17) остаточное количество пестицидов;</w:t>
      </w:r>
    </w:p>
    <w:bookmarkEnd w:id="114"/>
    <w:bookmarkStart w:name="z121" w:id="115"/>
    <w:p>
      <w:pPr>
        <w:spacing w:after="0"/>
        <w:ind w:left="0"/>
        <w:jc w:val="both"/>
      </w:pPr>
      <w:r>
        <w:rPr>
          <w:rFonts w:ascii="Times New Roman"/>
          <w:b w:val="false"/>
          <w:i w:val="false"/>
          <w:color w:val="000000"/>
          <w:sz w:val="28"/>
        </w:rPr>
        <w:t>
      18) анализ воды.</w:t>
      </w:r>
    </w:p>
    <w:bookmarkEnd w:id="115"/>
    <w:bookmarkStart w:name="z122" w:id="116"/>
    <w:p>
      <w:pPr>
        <w:spacing w:after="0"/>
        <w:ind w:left="0"/>
        <w:jc w:val="both"/>
      </w:pPr>
      <w:r>
        <w:rPr>
          <w:rFonts w:ascii="Times New Roman"/>
          <w:b w:val="false"/>
          <w:i w:val="false"/>
          <w:color w:val="000000"/>
          <w:sz w:val="28"/>
        </w:rPr>
        <w:t>
      42. В результате лабораторных исследований обрабатываются данные и производятся расчеты:</w:t>
      </w:r>
    </w:p>
    <w:bookmarkEnd w:id="116"/>
    <w:bookmarkStart w:name="z123" w:id="117"/>
    <w:p>
      <w:pPr>
        <w:spacing w:after="0"/>
        <w:ind w:left="0"/>
        <w:jc w:val="both"/>
      </w:pPr>
      <w:r>
        <w:rPr>
          <w:rFonts w:ascii="Times New Roman"/>
          <w:b w:val="false"/>
          <w:i w:val="false"/>
          <w:color w:val="000000"/>
          <w:sz w:val="28"/>
        </w:rPr>
        <w:t>
      1) механического состава;</w:t>
      </w:r>
    </w:p>
    <w:bookmarkEnd w:id="117"/>
    <w:bookmarkStart w:name="z124" w:id="118"/>
    <w:p>
      <w:pPr>
        <w:spacing w:after="0"/>
        <w:ind w:left="0"/>
        <w:jc w:val="both"/>
      </w:pPr>
      <w:r>
        <w:rPr>
          <w:rFonts w:ascii="Times New Roman"/>
          <w:b w:val="false"/>
          <w:i w:val="false"/>
          <w:color w:val="000000"/>
          <w:sz w:val="28"/>
        </w:rPr>
        <w:t>
      2) микроагрегатного состава;</w:t>
      </w:r>
    </w:p>
    <w:bookmarkEnd w:id="118"/>
    <w:bookmarkStart w:name="z125" w:id="119"/>
    <w:p>
      <w:pPr>
        <w:spacing w:after="0"/>
        <w:ind w:left="0"/>
        <w:jc w:val="both"/>
      </w:pPr>
      <w:r>
        <w:rPr>
          <w:rFonts w:ascii="Times New Roman"/>
          <w:b w:val="false"/>
          <w:i w:val="false"/>
          <w:color w:val="000000"/>
          <w:sz w:val="28"/>
        </w:rPr>
        <w:t>
      3) фактора дисперсности и структурности;</w:t>
      </w:r>
    </w:p>
    <w:bookmarkEnd w:id="119"/>
    <w:bookmarkStart w:name="z126" w:id="120"/>
    <w:p>
      <w:pPr>
        <w:spacing w:after="0"/>
        <w:ind w:left="0"/>
        <w:jc w:val="both"/>
      </w:pPr>
      <w:r>
        <w:rPr>
          <w:rFonts w:ascii="Times New Roman"/>
          <w:b w:val="false"/>
          <w:i w:val="false"/>
          <w:color w:val="000000"/>
          <w:sz w:val="28"/>
        </w:rPr>
        <w:t>
      4) типа и степени засоления;</w:t>
      </w:r>
    </w:p>
    <w:bookmarkEnd w:id="120"/>
    <w:bookmarkStart w:name="z127" w:id="121"/>
    <w:p>
      <w:pPr>
        <w:spacing w:after="0"/>
        <w:ind w:left="0"/>
        <w:jc w:val="both"/>
      </w:pPr>
      <w:r>
        <w:rPr>
          <w:rFonts w:ascii="Times New Roman"/>
          <w:b w:val="false"/>
          <w:i w:val="false"/>
          <w:color w:val="000000"/>
          <w:sz w:val="28"/>
        </w:rPr>
        <w:t>
      5) процентного содержания поглощенных катионов;</w:t>
      </w:r>
    </w:p>
    <w:bookmarkEnd w:id="121"/>
    <w:bookmarkStart w:name="z128" w:id="122"/>
    <w:p>
      <w:pPr>
        <w:spacing w:after="0"/>
        <w:ind w:left="0"/>
        <w:jc w:val="both"/>
      </w:pPr>
      <w:r>
        <w:rPr>
          <w:rFonts w:ascii="Times New Roman"/>
          <w:b w:val="false"/>
          <w:i w:val="false"/>
          <w:color w:val="000000"/>
          <w:sz w:val="28"/>
        </w:rPr>
        <w:t>
      6) мощности морфологического и аналитического гумусовых горизонтов;</w:t>
      </w:r>
    </w:p>
    <w:bookmarkEnd w:id="122"/>
    <w:bookmarkStart w:name="z129" w:id="123"/>
    <w:p>
      <w:pPr>
        <w:spacing w:after="0"/>
        <w:ind w:left="0"/>
        <w:jc w:val="both"/>
      </w:pPr>
      <w:r>
        <w:rPr>
          <w:rFonts w:ascii="Times New Roman"/>
          <w:b w:val="false"/>
          <w:i w:val="false"/>
          <w:color w:val="000000"/>
          <w:sz w:val="28"/>
        </w:rPr>
        <w:t>
      7) баллов бонитета почвенных разновидностей.</w:t>
      </w:r>
    </w:p>
    <w:bookmarkEnd w:id="123"/>
    <w:bookmarkStart w:name="z130" w:id="124"/>
    <w:p>
      <w:pPr>
        <w:spacing w:after="0"/>
        <w:ind w:left="0"/>
        <w:jc w:val="both"/>
      </w:pPr>
      <w:r>
        <w:rPr>
          <w:rFonts w:ascii="Times New Roman"/>
          <w:b w:val="false"/>
          <w:i w:val="false"/>
          <w:color w:val="000000"/>
          <w:sz w:val="28"/>
        </w:rPr>
        <w:t>
      43. В камеральный период производятся работы по определению водно-физических свойств почв:</w:t>
      </w:r>
    </w:p>
    <w:bookmarkEnd w:id="124"/>
    <w:bookmarkStart w:name="z131" w:id="125"/>
    <w:p>
      <w:pPr>
        <w:spacing w:after="0"/>
        <w:ind w:left="0"/>
        <w:jc w:val="both"/>
      </w:pPr>
      <w:r>
        <w:rPr>
          <w:rFonts w:ascii="Times New Roman"/>
          <w:b w:val="false"/>
          <w:i w:val="false"/>
          <w:color w:val="000000"/>
          <w:sz w:val="28"/>
        </w:rPr>
        <w:t>
      1) определение объемного веса при естественной влажности и предельной полевой влагоемкости;</w:t>
      </w:r>
    </w:p>
    <w:bookmarkEnd w:id="125"/>
    <w:bookmarkStart w:name="z132" w:id="126"/>
    <w:p>
      <w:pPr>
        <w:spacing w:after="0"/>
        <w:ind w:left="0"/>
        <w:jc w:val="both"/>
      </w:pPr>
      <w:r>
        <w:rPr>
          <w:rFonts w:ascii="Times New Roman"/>
          <w:b w:val="false"/>
          <w:i w:val="false"/>
          <w:color w:val="000000"/>
          <w:sz w:val="28"/>
        </w:rPr>
        <w:t>
      2) определение влажности завядания, предельной полевой влагоемкости, нижнего предела оптимальной влаги, общей пористости;</w:t>
      </w:r>
    </w:p>
    <w:bookmarkEnd w:id="126"/>
    <w:bookmarkStart w:name="z133" w:id="127"/>
    <w:p>
      <w:pPr>
        <w:spacing w:after="0"/>
        <w:ind w:left="0"/>
        <w:jc w:val="both"/>
      </w:pPr>
      <w:r>
        <w:rPr>
          <w:rFonts w:ascii="Times New Roman"/>
          <w:b w:val="false"/>
          <w:i w:val="false"/>
          <w:color w:val="000000"/>
          <w:sz w:val="28"/>
        </w:rPr>
        <w:t>
      3) оценка естественной влаги по степени доступности ее растениям, запаса продуктивной влаги для слоев 0-30, 0-50, 0-100 см;</w:t>
      </w:r>
    </w:p>
    <w:bookmarkEnd w:id="127"/>
    <w:bookmarkStart w:name="z134" w:id="128"/>
    <w:p>
      <w:pPr>
        <w:spacing w:after="0"/>
        <w:ind w:left="0"/>
        <w:jc w:val="both"/>
      </w:pPr>
      <w:r>
        <w:rPr>
          <w:rFonts w:ascii="Times New Roman"/>
          <w:b w:val="false"/>
          <w:i w:val="false"/>
          <w:color w:val="000000"/>
          <w:sz w:val="28"/>
        </w:rPr>
        <w:t>
      4) оценка дефицита продуктивной влаги для слоев 0-30, 0-50, 0-100 см;</w:t>
      </w:r>
    </w:p>
    <w:bookmarkEnd w:id="128"/>
    <w:bookmarkStart w:name="z135" w:id="129"/>
    <w:p>
      <w:pPr>
        <w:spacing w:after="0"/>
        <w:ind w:left="0"/>
        <w:jc w:val="both"/>
      </w:pPr>
      <w:r>
        <w:rPr>
          <w:rFonts w:ascii="Times New Roman"/>
          <w:b w:val="false"/>
          <w:i w:val="false"/>
          <w:color w:val="000000"/>
          <w:sz w:val="28"/>
        </w:rPr>
        <w:t>
      5) оценка оптимальной поливной нормы для слоя 0-100 см;</w:t>
      </w:r>
    </w:p>
    <w:bookmarkEnd w:id="129"/>
    <w:bookmarkStart w:name="z136" w:id="130"/>
    <w:p>
      <w:pPr>
        <w:spacing w:after="0"/>
        <w:ind w:left="0"/>
        <w:jc w:val="both"/>
      </w:pPr>
      <w:r>
        <w:rPr>
          <w:rFonts w:ascii="Times New Roman"/>
          <w:b w:val="false"/>
          <w:i w:val="false"/>
          <w:color w:val="000000"/>
          <w:sz w:val="28"/>
        </w:rPr>
        <w:t>
      6) составление графиков водопроницаемости, плотности, естественной влажности.</w:t>
      </w:r>
    </w:p>
    <w:bookmarkEnd w:id="130"/>
    <w:bookmarkStart w:name="z137" w:id="131"/>
    <w:p>
      <w:pPr>
        <w:spacing w:after="0"/>
        <w:ind w:left="0"/>
        <w:jc w:val="both"/>
      </w:pPr>
      <w:r>
        <w:rPr>
          <w:rFonts w:ascii="Times New Roman"/>
          <w:b w:val="false"/>
          <w:i w:val="false"/>
          <w:color w:val="000000"/>
          <w:sz w:val="28"/>
        </w:rPr>
        <w:t>
      44. На основании полевых наблюдений, лабораторных исследований составляется ведомость морфологических, физико-химических и агротехнических свойств почв стационарных и полустационарных пунктов наблюдений по форме согласно приложению 5 к настоящей Методике, с расчетом средневзвешенных величин по генетическим горизонтам и расчетным слоям 0-30, 0-50, 50-100, 0-100, 100-200 см.</w:t>
      </w:r>
    </w:p>
    <w:bookmarkEnd w:id="131"/>
    <w:bookmarkStart w:name="z138" w:id="132"/>
    <w:p>
      <w:pPr>
        <w:spacing w:after="0"/>
        <w:ind w:left="0"/>
        <w:jc w:val="both"/>
      </w:pPr>
      <w:r>
        <w:rPr>
          <w:rFonts w:ascii="Times New Roman"/>
          <w:b w:val="false"/>
          <w:i w:val="false"/>
          <w:color w:val="000000"/>
          <w:sz w:val="28"/>
        </w:rPr>
        <w:t>
      45. На ключевых участках по результатам лабораторных исследований составляется в краткой форме отчет, характеризующий природные условия, почвы, их использование в сельскохозяйственном производстве. К отчету прилагаются почвенные карты, картограммы бонитета почв и специфические картограммы (защебнения, засоления, водной и ветровой эрозии почв).</w:t>
      </w:r>
    </w:p>
    <w:bookmarkEnd w:id="132"/>
    <w:bookmarkStart w:name="z139" w:id="133"/>
    <w:p>
      <w:pPr>
        <w:spacing w:after="0"/>
        <w:ind w:left="0"/>
        <w:jc w:val="both"/>
      </w:pPr>
      <w:r>
        <w:rPr>
          <w:rFonts w:ascii="Times New Roman"/>
          <w:b w:val="false"/>
          <w:i w:val="false"/>
          <w:color w:val="000000"/>
          <w:sz w:val="28"/>
        </w:rPr>
        <w:t>
      46. На СПН и ПСПН составляются пояснительная записка, тематические карты и специфические картограммы:</w:t>
      </w:r>
    </w:p>
    <w:bookmarkEnd w:id="133"/>
    <w:bookmarkStart w:name="z140" w:id="134"/>
    <w:p>
      <w:pPr>
        <w:spacing w:after="0"/>
        <w:ind w:left="0"/>
        <w:jc w:val="both"/>
      </w:pPr>
      <w:r>
        <w:rPr>
          <w:rFonts w:ascii="Times New Roman"/>
          <w:b w:val="false"/>
          <w:i w:val="false"/>
          <w:color w:val="000000"/>
          <w:sz w:val="28"/>
        </w:rPr>
        <w:t>
      1) почвенная карта;</w:t>
      </w:r>
    </w:p>
    <w:bookmarkEnd w:id="134"/>
    <w:bookmarkStart w:name="z141" w:id="135"/>
    <w:p>
      <w:pPr>
        <w:spacing w:after="0"/>
        <w:ind w:left="0"/>
        <w:jc w:val="both"/>
      </w:pPr>
      <w:r>
        <w:rPr>
          <w:rFonts w:ascii="Times New Roman"/>
          <w:b w:val="false"/>
          <w:i w:val="false"/>
          <w:color w:val="000000"/>
          <w:sz w:val="28"/>
        </w:rPr>
        <w:t>
      2) картограмма бонитета почв;</w:t>
      </w:r>
    </w:p>
    <w:bookmarkEnd w:id="135"/>
    <w:bookmarkStart w:name="z142" w:id="136"/>
    <w:p>
      <w:pPr>
        <w:spacing w:after="0"/>
        <w:ind w:left="0"/>
        <w:jc w:val="both"/>
      </w:pPr>
      <w:r>
        <w:rPr>
          <w:rFonts w:ascii="Times New Roman"/>
          <w:b w:val="false"/>
          <w:i w:val="false"/>
          <w:color w:val="000000"/>
          <w:sz w:val="28"/>
        </w:rPr>
        <w:t>
      3) специфические картограммы (защебнения, засоления, водной и ветровой эрозии почв).</w:t>
      </w:r>
    </w:p>
    <w:bookmarkEnd w:id="136"/>
    <w:bookmarkStart w:name="z143" w:id="137"/>
    <w:p>
      <w:pPr>
        <w:spacing w:after="0"/>
        <w:ind w:left="0"/>
        <w:jc w:val="both"/>
      </w:pPr>
      <w:r>
        <w:rPr>
          <w:rFonts w:ascii="Times New Roman"/>
          <w:b w:val="false"/>
          <w:i w:val="false"/>
          <w:color w:val="000000"/>
          <w:sz w:val="28"/>
        </w:rPr>
        <w:t>
      47. Структура и содержание пояснительной записки о проведенных обследованиях на СПН, ПСПН включает следующее:</w:t>
      </w:r>
    </w:p>
    <w:bookmarkEnd w:id="137"/>
    <w:bookmarkStart w:name="z144" w:id="138"/>
    <w:p>
      <w:pPr>
        <w:spacing w:after="0"/>
        <w:ind w:left="0"/>
        <w:jc w:val="both"/>
      </w:pPr>
      <w:r>
        <w:rPr>
          <w:rFonts w:ascii="Times New Roman"/>
          <w:b w:val="false"/>
          <w:i w:val="false"/>
          <w:color w:val="000000"/>
          <w:sz w:val="28"/>
        </w:rPr>
        <w:t>
      1) введение (указать заказчика работ, цель, задачи, сроки проведения работ, масштаб обследования);</w:t>
      </w:r>
    </w:p>
    <w:bookmarkEnd w:id="138"/>
    <w:bookmarkStart w:name="z145" w:id="139"/>
    <w:p>
      <w:pPr>
        <w:spacing w:after="0"/>
        <w:ind w:left="0"/>
        <w:jc w:val="both"/>
      </w:pPr>
      <w:r>
        <w:rPr>
          <w:rFonts w:ascii="Times New Roman"/>
          <w:b w:val="false"/>
          <w:i w:val="false"/>
          <w:color w:val="000000"/>
          <w:sz w:val="28"/>
        </w:rPr>
        <w:t>
      2) краткая методика выполнения работ;</w:t>
      </w:r>
    </w:p>
    <w:bookmarkEnd w:id="139"/>
    <w:bookmarkStart w:name="z146" w:id="140"/>
    <w:p>
      <w:pPr>
        <w:spacing w:after="0"/>
        <w:ind w:left="0"/>
        <w:jc w:val="both"/>
      </w:pPr>
      <w:r>
        <w:rPr>
          <w:rFonts w:ascii="Times New Roman"/>
          <w:b w:val="false"/>
          <w:i w:val="false"/>
          <w:color w:val="000000"/>
          <w:sz w:val="28"/>
        </w:rPr>
        <w:t>
      3) природные условия: климат, гидрология, рельеф, растительность, почвообразующие породы;</w:t>
      </w:r>
    </w:p>
    <w:bookmarkEnd w:id="140"/>
    <w:bookmarkStart w:name="z147" w:id="141"/>
    <w:p>
      <w:pPr>
        <w:spacing w:after="0"/>
        <w:ind w:left="0"/>
        <w:jc w:val="both"/>
      </w:pPr>
      <w:r>
        <w:rPr>
          <w:rFonts w:ascii="Times New Roman"/>
          <w:b w:val="false"/>
          <w:i w:val="false"/>
          <w:color w:val="000000"/>
          <w:sz w:val="28"/>
        </w:rPr>
        <w:t>
      4) почвенный покров (генезис, морфологическая, физико-химическая характеристика).</w:t>
      </w:r>
    </w:p>
    <w:bookmarkEnd w:id="141"/>
    <w:bookmarkStart w:name="z148" w:id="142"/>
    <w:p>
      <w:pPr>
        <w:spacing w:after="0"/>
        <w:ind w:left="0"/>
        <w:jc w:val="both"/>
      </w:pPr>
      <w:r>
        <w:rPr>
          <w:rFonts w:ascii="Times New Roman"/>
          <w:b w:val="false"/>
          <w:i w:val="false"/>
          <w:color w:val="000000"/>
          <w:sz w:val="28"/>
        </w:rPr>
        <w:t>
      48. Выявление происходящих изменений, оценка состояния земель выполняется ежегодно путем анализа проводимых наблюдений на территориально-зональной сети мониторинга и сведений (данных) почвенных изысканий в разрезе почвенных зон (подзон), административных областей и в целом по республике.</w:t>
      </w:r>
    </w:p>
    <w:bookmarkEnd w:id="142"/>
    <w:bookmarkStart w:name="z149" w:id="143"/>
    <w:p>
      <w:pPr>
        <w:spacing w:after="0"/>
        <w:ind w:left="0"/>
        <w:jc w:val="both"/>
      </w:pPr>
      <w:r>
        <w:rPr>
          <w:rFonts w:ascii="Times New Roman"/>
          <w:b w:val="false"/>
          <w:i w:val="false"/>
          <w:color w:val="000000"/>
          <w:sz w:val="28"/>
        </w:rPr>
        <w:t>
      49. Наблюдаемые показатели мониторинга земель по годам наблюдений со дня заложения пункта наблюдения (площадки) оформляются по форме согласно приложению 6 к настоящей Методике. Абсолютные изменения параметров контролируемых показателей и их динамика во времени устанавливаются путем их сравнения с повторными долгосрочными наблюдениями.</w:t>
      </w:r>
    </w:p>
    <w:bookmarkEnd w:id="143"/>
    <w:bookmarkStart w:name="z150" w:id="144"/>
    <w:p>
      <w:pPr>
        <w:spacing w:after="0"/>
        <w:ind w:left="0"/>
        <w:jc w:val="both"/>
      </w:pPr>
      <w:r>
        <w:rPr>
          <w:rFonts w:ascii="Times New Roman"/>
          <w:b w:val="false"/>
          <w:i w:val="false"/>
          <w:color w:val="000000"/>
          <w:sz w:val="28"/>
        </w:rPr>
        <w:t>
      50. Для выявления ежегодных изменений почвенных характеристик, обобщение и анализ материалов ведется с соблюдением принципа совместимости разнородных данных и приведением их к единым показателям во времени.</w:t>
      </w:r>
    </w:p>
    <w:bookmarkEnd w:id="144"/>
    <w:bookmarkStart w:name="z151" w:id="145"/>
    <w:p>
      <w:pPr>
        <w:spacing w:after="0"/>
        <w:ind w:left="0"/>
        <w:jc w:val="both"/>
      </w:pPr>
      <w:r>
        <w:rPr>
          <w:rFonts w:ascii="Times New Roman"/>
          <w:b w:val="false"/>
          <w:i w:val="false"/>
          <w:color w:val="000000"/>
          <w:sz w:val="28"/>
        </w:rPr>
        <w:t>
      51. На территориально-зональной сети мониторинга ежегодные происходящие изменения определяются с учетом принятых интервалов периодичности наблюдений согласно пункту 33 настоящей Методики.</w:t>
      </w:r>
    </w:p>
    <w:bookmarkEnd w:id="145"/>
    <w:bookmarkStart w:name="z152" w:id="146"/>
    <w:p>
      <w:pPr>
        <w:spacing w:after="0"/>
        <w:ind w:left="0"/>
        <w:jc w:val="both"/>
      </w:pPr>
      <w:r>
        <w:rPr>
          <w:rFonts w:ascii="Times New Roman"/>
          <w:b w:val="false"/>
          <w:i w:val="false"/>
          <w:color w:val="000000"/>
          <w:sz w:val="28"/>
        </w:rPr>
        <w:t>
      52. Данные, полученные в ходе проведения мониторинга земель сельскохозяйственного назначения, используются при составлении ежегодного отчета о мониторинге земель по области. Отчет о мониторинге земель состоит из текстовых и графических частей.</w:t>
      </w:r>
    </w:p>
    <w:bookmarkEnd w:id="146"/>
    <w:bookmarkStart w:name="z153" w:id="147"/>
    <w:p>
      <w:pPr>
        <w:spacing w:after="0"/>
        <w:ind w:left="0"/>
        <w:jc w:val="both"/>
      </w:pPr>
      <w:r>
        <w:rPr>
          <w:rFonts w:ascii="Times New Roman"/>
          <w:b w:val="false"/>
          <w:i w:val="false"/>
          <w:color w:val="000000"/>
          <w:sz w:val="28"/>
        </w:rPr>
        <w:t>
      53. Текстовая часть отчета о мониторинге земель состоит из пояснительной записки. В пояснительной записке приводится краткая информация о заложении новых СПН и ПСПН в текущем году и проведении повторных наблюдений на существующей территориально-зональной сети мониторинга.</w:t>
      </w:r>
    </w:p>
    <w:bookmarkEnd w:id="147"/>
    <w:bookmarkStart w:name="z154" w:id="148"/>
    <w:p>
      <w:pPr>
        <w:spacing w:after="0"/>
        <w:ind w:left="0"/>
        <w:jc w:val="both"/>
      </w:pPr>
      <w:r>
        <w:rPr>
          <w:rFonts w:ascii="Times New Roman"/>
          <w:b w:val="false"/>
          <w:i w:val="false"/>
          <w:color w:val="000000"/>
          <w:sz w:val="28"/>
        </w:rPr>
        <w:t>
      Ведомость по формированию территориально-зональной сети мониторинга земель республики и проведение на них повторных наблюдений составляется по форме согласно приложения 7 настоящей Методики.</w:t>
      </w:r>
    </w:p>
    <w:bookmarkEnd w:id="148"/>
    <w:bookmarkStart w:name="z155" w:id="149"/>
    <w:p>
      <w:pPr>
        <w:spacing w:after="0"/>
        <w:ind w:left="0"/>
        <w:jc w:val="both"/>
      </w:pPr>
      <w:r>
        <w:rPr>
          <w:rFonts w:ascii="Times New Roman"/>
          <w:b w:val="false"/>
          <w:i w:val="false"/>
          <w:color w:val="000000"/>
          <w:sz w:val="28"/>
        </w:rPr>
        <w:t>
      В пояснительной записке указываются выводы об интенсивности и направленности происходящих изменений по изучаемым почвенным разновидностям, типам (подтипам) почв. Проводится анализ и оценка состояния земель, прогноз развития негативных процессов, разрабатываются рекомендации по предупреждению и устранению последствий негативных последствий.</w:t>
      </w:r>
    </w:p>
    <w:bookmarkEnd w:id="149"/>
    <w:bookmarkStart w:name="z156" w:id="150"/>
    <w:p>
      <w:pPr>
        <w:spacing w:after="0"/>
        <w:ind w:left="0"/>
        <w:jc w:val="both"/>
      </w:pPr>
      <w:r>
        <w:rPr>
          <w:rFonts w:ascii="Times New Roman"/>
          <w:b w:val="false"/>
          <w:i w:val="false"/>
          <w:color w:val="000000"/>
          <w:sz w:val="28"/>
        </w:rPr>
        <w:t>
      54. Графическая часть отчета о мониторинге земель состоит из схемы территориально-зональной сети мониторинга, на которую наносятся:</w:t>
      </w:r>
    </w:p>
    <w:bookmarkEnd w:id="150"/>
    <w:bookmarkStart w:name="z157" w:id="151"/>
    <w:p>
      <w:pPr>
        <w:spacing w:after="0"/>
        <w:ind w:left="0"/>
        <w:jc w:val="both"/>
      </w:pPr>
      <w:r>
        <w:rPr>
          <w:rFonts w:ascii="Times New Roman"/>
          <w:b w:val="false"/>
          <w:i w:val="false"/>
          <w:color w:val="000000"/>
          <w:sz w:val="28"/>
        </w:rPr>
        <w:t>
      1) СПН и ПСПН, на которых проведены повторные (текущие) изменения – условный знак синего цвета;</w:t>
      </w:r>
    </w:p>
    <w:bookmarkEnd w:id="151"/>
    <w:bookmarkStart w:name="z158" w:id="152"/>
    <w:p>
      <w:pPr>
        <w:spacing w:after="0"/>
        <w:ind w:left="0"/>
        <w:jc w:val="both"/>
      </w:pPr>
      <w:r>
        <w:rPr>
          <w:rFonts w:ascii="Times New Roman"/>
          <w:b w:val="false"/>
          <w:i w:val="false"/>
          <w:color w:val="000000"/>
          <w:sz w:val="28"/>
        </w:rPr>
        <w:t>
      2) СПН и ПСПН, новое заложение в отчетном году – условный знак красного цвета;</w:t>
      </w:r>
    </w:p>
    <w:bookmarkEnd w:id="152"/>
    <w:bookmarkStart w:name="z159" w:id="153"/>
    <w:p>
      <w:pPr>
        <w:spacing w:after="0"/>
        <w:ind w:left="0"/>
        <w:jc w:val="both"/>
      </w:pPr>
      <w:r>
        <w:rPr>
          <w:rFonts w:ascii="Times New Roman"/>
          <w:b w:val="false"/>
          <w:i w:val="false"/>
          <w:color w:val="000000"/>
          <w:sz w:val="28"/>
        </w:rPr>
        <w:t>
      Схема территориально-зональной сети мониторинга земель снабжается оглавлением, масштабом, условными знаками, обозначениями и угловым штампом изготовителя.</w:t>
      </w:r>
    </w:p>
    <w:bookmarkEnd w:id="153"/>
    <w:bookmarkStart w:name="z160" w:id="154"/>
    <w:p>
      <w:pPr>
        <w:spacing w:after="0"/>
        <w:ind w:left="0"/>
        <w:jc w:val="both"/>
      </w:pPr>
      <w:r>
        <w:rPr>
          <w:rFonts w:ascii="Times New Roman"/>
          <w:b w:val="false"/>
          <w:i w:val="false"/>
          <w:color w:val="000000"/>
          <w:sz w:val="28"/>
        </w:rPr>
        <w:t>
      55. Отчет о мониторинге земель области изготавливается в двух экземплярах.</w:t>
      </w:r>
    </w:p>
    <w:bookmarkEnd w:id="154"/>
    <w:bookmarkStart w:name="z161" w:id="155"/>
    <w:p>
      <w:pPr>
        <w:spacing w:after="0"/>
        <w:ind w:left="0"/>
        <w:jc w:val="left"/>
      </w:pPr>
      <w:r>
        <w:rPr>
          <w:rFonts w:ascii="Times New Roman"/>
          <w:b/>
          <w:i w:val="false"/>
          <w:color w:val="000000"/>
        </w:rPr>
        <w:t xml:space="preserve"> Глава 3. Мониторинг состояния растительного покрова природных кормовых угодий</w:t>
      </w:r>
    </w:p>
    <w:bookmarkEnd w:id="155"/>
    <w:bookmarkStart w:name="z162" w:id="156"/>
    <w:p>
      <w:pPr>
        <w:spacing w:after="0"/>
        <w:ind w:left="0"/>
        <w:jc w:val="both"/>
      </w:pPr>
      <w:r>
        <w:rPr>
          <w:rFonts w:ascii="Times New Roman"/>
          <w:b w:val="false"/>
          <w:i w:val="false"/>
          <w:color w:val="000000"/>
          <w:sz w:val="28"/>
        </w:rPr>
        <w:t>
      56. Мониторинг состояния растительного покрова природных кормовых угодий проводится как самостоятельный вид работы.</w:t>
      </w:r>
    </w:p>
    <w:bookmarkEnd w:id="156"/>
    <w:bookmarkStart w:name="z163" w:id="157"/>
    <w:p>
      <w:pPr>
        <w:spacing w:after="0"/>
        <w:ind w:left="0"/>
        <w:jc w:val="both"/>
      </w:pPr>
      <w:r>
        <w:rPr>
          <w:rFonts w:ascii="Times New Roman"/>
          <w:b w:val="false"/>
          <w:i w:val="false"/>
          <w:color w:val="000000"/>
          <w:sz w:val="28"/>
        </w:rPr>
        <w:t>
      57. Конечной целью мониторинга состояния растительного покрова природных кормовых угодий является оценка состояния растительности для сохранения и повышения производительного потенциала, разработка рекомендаций по рациональному использованию и охране природных кормовых угодий.</w:t>
      </w:r>
    </w:p>
    <w:bookmarkEnd w:id="157"/>
    <w:bookmarkStart w:name="z164" w:id="158"/>
    <w:p>
      <w:pPr>
        <w:spacing w:after="0"/>
        <w:ind w:left="0"/>
        <w:jc w:val="left"/>
      </w:pPr>
      <w:r>
        <w:rPr>
          <w:rFonts w:ascii="Times New Roman"/>
          <w:b/>
          <w:i w:val="false"/>
          <w:color w:val="000000"/>
        </w:rPr>
        <w:t xml:space="preserve"> Параграф 1. Ведение стационарных наблюдений</w:t>
      </w:r>
    </w:p>
    <w:bookmarkEnd w:id="158"/>
    <w:bookmarkStart w:name="z165" w:id="159"/>
    <w:p>
      <w:pPr>
        <w:spacing w:after="0"/>
        <w:ind w:left="0"/>
        <w:jc w:val="both"/>
      </w:pPr>
      <w:r>
        <w:rPr>
          <w:rFonts w:ascii="Times New Roman"/>
          <w:b w:val="false"/>
          <w:i w:val="false"/>
          <w:color w:val="000000"/>
          <w:sz w:val="28"/>
        </w:rPr>
        <w:t>
      58. Стационарные наблюдения проводятся для установления фонового уровня состояния растительного покрова, которое является точкой отсчета изменений в травостое, динамики урожайности в течение вегетационного периода в разные по метеорологическим условиям годы, отавности растений, влияния отдыха и различных нагрузок, динамики химизма и питательности пастбищных кормов, для выяснения влияния различных схем хозяйственного использования территории.</w:t>
      </w:r>
    </w:p>
    <w:bookmarkEnd w:id="159"/>
    <w:bookmarkStart w:name="z166" w:id="160"/>
    <w:p>
      <w:pPr>
        <w:spacing w:after="0"/>
        <w:ind w:left="0"/>
        <w:jc w:val="both"/>
      </w:pPr>
      <w:r>
        <w:rPr>
          <w:rFonts w:ascii="Times New Roman"/>
          <w:b w:val="false"/>
          <w:i w:val="false"/>
          <w:color w:val="000000"/>
          <w:sz w:val="28"/>
        </w:rPr>
        <w:t>
      59. Стационарные наблюдения проводятся на специально отобранных однородных по условиям рельефа, почвам, растительному покрову участках, расположенных вблизи метеостанций на огороженной (30 х 50 м) и сопредельной используемой территории.</w:t>
      </w:r>
    </w:p>
    <w:bookmarkEnd w:id="160"/>
    <w:bookmarkStart w:name="z167" w:id="161"/>
    <w:p>
      <w:pPr>
        <w:spacing w:after="0"/>
        <w:ind w:left="0"/>
        <w:jc w:val="both"/>
      </w:pPr>
      <w:r>
        <w:rPr>
          <w:rFonts w:ascii="Times New Roman"/>
          <w:b w:val="false"/>
          <w:i w:val="false"/>
          <w:color w:val="000000"/>
          <w:sz w:val="28"/>
        </w:rPr>
        <w:t>
      60. Стационарные наблюдения проводятся ежегодно каждую декаду с начала и до прекращения вегетации. При производстве работ выделяются три периода: подготовительный, полевой, камеральный.</w:t>
      </w:r>
    </w:p>
    <w:bookmarkEnd w:id="161"/>
    <w:bookmarkStart w:name="z168" w:id="162"/>
    <w:p>
      <w:pPr>
        <w:spacing w:after="0"/>
        <w:ind w:left="0"/>
        <w:jc w:val="both"/>
      </w:pPr>
      <w:r>
        <w:rPr>
          <w:rFonts w:ascii="Times New Roman"/>
          <w:b w:val="false"/>
          <w:i w:val="false"/>
          <w:color w:val="000000"/>
          <w:sz w:val="28"/>
        </w:rPr>
        <w:t>
      61. В подготовительный период изучаются картографический материал и литературные источники. Отобранные для стационарных наблюдений участки огораживаются, внутри разбиваются на площадки, которые фиксируются колышками.</w:t>
      </w:r>
    </w:p>
    <w:bookmarkEnd w:id="162"/>
    <w:bookmarkStart w:name="z169" w:id="163"/>
    <w:p>
      <w:pPr>
        <w:spacing w:after="0"/>
        <w:ind w:left="0"/>
        <w:jc w:val="both"/>
      </w:pPr>
      <w:r>
        <w:rPr>
          <w:rFonts w:ascii="Times New Roman"/>
          <w:b w:val="false"/>
          <w:i w:val="false"/>
          <w:color w:val="000000"/>
          <w:sz w:val="28"/>
        </w:rPr>
        <w:t>
      62. В полевой период в первый год наблюдений:</w:t>
      </w:r>
    </w:p>
    <w:bookmarkEnd w:id="163"/>
    <w:bookmarkStart w:name="z170" w:id="164"/>
    <w:p>
      <w:pPr>
        <w:spacing w:after="0"/>
        <w:ind w:left="0"/>
        <w:jc w:val="both"/>
      </w:pPr>
      <w:r>
        <w:rPr>
          <w:rFonts w:ascii="Times New Roman"/>
          <w:b w:val="false"/>
          <w:i w:val="false"/>
          <w:color w:val="000000"/>
          <w:sz w:val="28"/>
        </w:rPr>
        <w:t>
      1) каждый участок картируется, детально описывается, составляется полный флористический список в начале, середине и конце вегетации, определяются почвы;</w:t>
      </w:r>
    </w:p>
    <w:bookmarkEnd w:id="164"/>
    <w:bookmarkStart w:name="z171" w:id="165"/>
    <w:p>
      <w:pPr>
        <w:spacing w:after="0"/>
        <w:ind w:left="0"/>
        <w:jc w:val="both"/>
      </w:pPr>
      <w:r>
        <w:rPr>
          <w:rFonts w:ascii="Times New Roman"/>
          <w:b w:val="false"/>
          <w:i w:val="false"/>
          <w:color w:val="000000"/>
          <w:sz w:val="28"/>
        </w:rPr>
        <w:t>
      2) данные наблюдений заносятся в полевой журнал;</w:t>
      </w:r>
    </w:p>
    <w:bookmarkEnd w:id="165"/>
    <w:bookmarkStart w:name="z172" w:id="166"/>
    <w:p>
      <w:pPr>
        <w:spacing w:after="0"/>
        <w:ind w:left="0"/>
        <w:jc w:val="both"/>
      </w:pPr>
      <w:r>
        <w:rPr>
          <w:rFonts w:ascii="Times New Roman"/>
          <w:b w:val="false"/>
          <w:i w:val="false"/>
          <w:color w:val="000000"/>
          <w:sz w:val="28"/>
        </w:rPr>
        <w:t>
      3) наблюдения за динамикой накопления фитомассы производятся один раз в году и заключается в отчуждении фитомассы через определенный срок;</w:t>
      </w:r>
    </w:p>
    <w:bookmarkEnd w:id="166"/>
    <w:bookmarkStart w:name="z173" w:id="167"/>
    <w:p>
      <w:pPr>
        <w:spacing w:after="0"/>
        <w:ind w:left="0"/>
        <w:jc w:val="both"/>
      </w:pPr>
      <w:r>
        <w:rPr>
          <w:rFonts w:ascii="Times New Roman"/>
          <w:b w:val="false"/>
          <w:i w:val="false"/>
          <w:color w:val="000000"/>
          <w:sz w:val="28"/>
        </w:rPr>
        <w:t>
      4) наблюдения на сопредельной территории производятся на растительных сообществах, аналогичных наблюдаемый, с целью сравнения результатов;</w:t>
      </w:r>
    </w:p>
    <w:bookmarkEnd w:id="167"/>
    <w:bookmarkStart w:name="z174" w:id="168"/>
    <w:p>
      <w:pPr>
        <w:spacing w:after="0"/>
        <w:ind w:left="0"/>
        <w:jc w:val="both"/>
      </w:pPr>
      <w:r>
        <w:rPr>
          <w:rFonts w:ascii="Times New Roman"/>
          <w:b w:val="false"/>
          <w:i w:val="false"/>
          <w:color w:val="000000"/>
          <w:sz w:val="28"/>
        </w:rPr>
        <w:t>
      5) в специальном журнале фиксируются наблюдения за поедаемостью отдельных видов растений, опросные данные, системы выпаса;</w:t>
      </w:r>
    </w:p>
    <w:bookmarkEnd w:id="168"/>
    <w:bookmarkStart w:name="z175" w:id="169"/>
    <w:p>
      <w:pPr>
        <w:spacing w:after="0"/>
        <w:ind w:left="0"/>
        <w:jc w:val="both"/>
      </w:pPr>
      <w:r>
        <w:rPr>
          <w:rFonts w:ascii="Times New Roman"/>
          <w:b w:val="false"/>
          <w:i w:val="false"/>
          <w:color w:val="000000"/>
          <w:sz w:val="28"/>
        </w:rPr>
        <w:t>
      6) сбор образцов отдельных видов растений производится ежегодно по сезонам для определения химизма, питательности, содержания вредных и отравляющих веществ.</w:t>
      </w:r>
    </w:p>
    <w:bookmarkEnd w:id="169"/>
    <w:bookmarkStart w:name="z176" w:id="170"/>
    <w:p>
      <w:pPr>
        <w:spacing w:after="0"/>
        <w:ind w:left="0"/>
        <w:jc w:val="both"/>
      </w:pPr>
      <w:r>
        <w:rPr>
          <w:rFonts w:ascii="Times New Roman"/>
          <w:b w:val="false"/>
          <w:i w:val="false"/>
          <w:color w:val="000000"/>
          <w:sz w:val="28"/>
        </w:rPr>
        <w:t>
      63. В камеральный период производится обработка всех собранных в полевой период материалов (данных, сведений) и результаты представляются в виде таблиц, графиков и текстового материала.</w:t>
      </w:r>
    </w:p>
    <w:bookmarkEnd w:id="170"/>
    <w:bookmarkStart w:name="z177" w:id="171"/>
    <w:p>
      <w:pPr>
        <w:spacing w:after="0"/>
        <w:ind w:left="0"/>
        <w:jc w:val="left"/>
      </w:pPr>
      <w:r>
        <w:rPr>
          <w:rFonts w:ascii="Times New Roman"/>
          <w:b/>
          <w:i w:val="false"/>
          <w:color w:val="000000"/>
        </w:rPr>
        <w:t xml:space="preserve"> Параграф 2. Наблюдения на полигонах</w:t>
      </w:r>
    </w:p>
    <w:bookmarkEnd w:id="171"/>
    <w:bookmarkStart w:name="z178" w:id="172"/>
    <w:p>
      <w:pPr>
        <w:spacing w:after="0"/>
        <w:ind w:left="0"/>
        <w:jc w:val="both"/>
      </w:pPr>
      <w:r>
        <w:rPr>
          <w:rFonts w:ascii="Times New Roman"/>
          <w:b w:val="false"/>
          <w:i w:val="false"/>
          <w:color w:val="000000"/>
          <w:sz w:val="28"/>
        </w:rPr>
        <w:t>
      64. Наблюдения на полигонах проводятся для получения сведений о ежегодных запасах пастбищных кормов и оперативного составления сезонных карт продуктивности природных кормовых угодий.</w:t>
      </w:r>
    </w:p>
    <w:bookmarkEnd w:id="172"/>
    <w:bookmarkStart w:name="z179" w:id="173"/>
    <w:p>
      <w:pPr>
        <w:spacing w:after="0"/>
        <w:ind w:left="0"/>
        <w:jc w:val="both"/>
      </w:pPr>
      <w:r>
        <w:rPr>
          <w:rFonts w:ascii="Times New Roman"/>
          <w:b w:val="false"/>
          <w:i w:val="false"/>
          <w:color w:val="000000"/>
          <w:sz w:val="28"/>
        </w:rPr>
        <w:t>
      65. Наблюдения на полигонах осуществляются одновременно: наземные и аэрофотометрические.</w:t>
      </w:r>
    </w:p>
    <w:bookmarkEnd w:id="173"/>
    <w:bookmarkStart w:name="z180" w:id="174"/>
    <w:p>
      <w:pPr>
        <w:spacing w:after="0"/>
        <w:ind w:left="0"/>
        <w:jc w:val="both"/>
      </w:pPr>
      <w:r>
        <w:rPr>
          <w:rFonts w:ascii="Times New Roman"/>
          <w:b w:val="false"/>
          <w:i w:val="false"/>
          <w:color w:val="000000"/>
          <w:sz w:val="28"/>
        </w:rPr>
        <w:t>
      66. Участок для полигона подбирается с учетом определенного типа ландшафта или нескольких типов, характерных для изучаемой природной зоны. Площадь полигона зависит от сложности растительного покрова (до 50 квадратных километров). Выбор площади для наблюдений осуществляется на основании изучения сведений (данных) геоботанических изысканий.</w:t>
      </w:r>
    </w:p>
    <w:bookmarkEnd w:id="174"/>
    <w:bookmarkStart w:name="z181" w:id="175"/>
    <w:p>
      <w:pPr>
        <w:spacing w:after="0"/>
        <w:ind w:left="0"/>
        <w:jc w:val="both"/>
      </w:pPr>
      <w:r>
        <w:rPr>
          <w:rFonts w:ascii="Times New Roman"/>
          <w:b w:val="false"/>
          <w:i w:val="false"/>
          <w:color w:val="000000"/>
          <w:sz w:val="28"/>
        </w:rPr>
        <w:t>
      67. Для выявления современного состояния растительного покрова на полигоне проводится переобследование или корректировка в масштабе предыдущей съемки, на основании которой подбираются ключевые участки. Съемка ключевого участка, площадь которого 0,5-1 га до 100 га, производится в масштабе 1:2000 ежегодно. На ключевом участке определяют делянки для наблюдений 30 х 50 м.</w:t>
      </w:r>
    </w:p>
    <w:bookmarkEnd w:id="175"/>
    <w:bookmarkStart w:name="z182" w:id="176"/>
    <w:p>
      <w:pPr>
        <w:spacing w:after="0"/>
        <w:ind w:left="0"/>
        <w:jc w:val="both"/>
      </w:pPr>
      <w:r>
        <w:rPr>
          <w:rFonts w:ascii="Times New Roman"/>
          <w:b w:val="false"/>
          <w:i w:val="false"/>
          <w:color w:val="000000"/>
          <w:sz w:val="28"/>
        </w:rPr>
        <w:t>
      68. Мониторинг растительного покрова на полигонах подразделяется на три периода: подготовительный, полевой, камеральный.</w:t>
      </w:r>
    </w:p>
    <w:bookmarkEnd w:id="176"/>
    <w:bookmarkStart w:name="z183" w:id="177"/>
    <w:p>
      <w:pPr>
        <w:spacing w:after="0"/>
        <w:ind w:left="0"/>
        <w:jc w:val="both"/>
      </w:pPr>
      <w:r>
        <w:rPr>
          <w:rFonts w:ascii="Times New Roman"/>
          <w:b w:val="false"/>
          <w:i w:val="false"/>
          <w:color w:val="000000"/>
          <w:sz w:val="28"/>
        </w:rPr>
        <w:t>
      69. В подготовительный период изучаются имеющиеся материалы, анализируется состояние растительного покрова в разные годы съемки,</w:t>
      </w:r>
    </w:p>
    <w:bookmarkEnd w:id="177"/>
    <w:bookmarkStart w:name="z184" w:id="178"/>
    <w:p>
      <w:pPr>
        <w:spacing w:after="0"/>
        <w:ind w:left="0"/>
        <w:jc w:val="both"/>
      </w:pPr>
      <w:r>
        <w:rPr>
          <w:rFonts w:ascii="Times New Roman"/>
          <w:b w:val="false"/>
          <w:i w:val="false"/>
          <w:color w:val="000000"/>
          <w:sz w:val="28"/>
        </w:rPr>
        <w:t>
      70. В полевой период:</w:t>
      </w:r>
    </w:p>
    <w:bookmarkEnd w:id="178"/>
    <w:bookmarkStart w:name="z185" w:id="179"/>
    <w:p>
      <w:pPr>
        <w:spacing w:after="0"/>
        <w:ind w:left="0"/>
        <w:jc w:val="both"/>
      </w:pPr>
      <w:r>
        <w:rPr>
          <w:rFonts w:ascii="Times New Roman"/>
          <w:b w:val="false"/>
          <w:i w:val="false"/>
          <w:color w:val="000000"/>
          <w:sz w:val="28"/>
        </w:rPr>
        <w:t>
      1) производится картографирование территории путем анализа состава, структуры и взаимосвязи природных комплексов с распознанием их на аэрофотоснимках по всей совокупности дешифровочных признаков;</w:t>
      </w:r>
    </w:p>
    <w:bookmarkEnd w:id="179"/>
    <w:bookmarkStart w:name="z186" w:id="180"/>
    <w:p>
      <w:pPr>
        <w:spacing w:after="0"/>
        <w:ind w:left="0"/>
        <w:jc w:val="both"/>
      </w:pPr>
      <w:r>
        <w:rPr>
          <w:rFonts w:ascii="Times New Roman"/>
          <w:b w:val="false"/>
          <w:i w:val="false"/>
          <w:color w:val="000000"/>
          <w:sz w:val="28"/>
        </w:rPr>
        <w:t>
      2) выделяются ключевые участки для сезонных наблюдений на основании проведенного ландшафтного районирования;</w:t>
      </w:r>
    </w:p>
    <w:bookmarkEnd w:id="180"/>
    <w:bookmarkStart w:name="z187" w:id="181"/>
    <w:p>
      <w:pPr>
        <w:spacing w:after="0"/>
        <w:ind w:left="0"/>
        <w:jc w:val="both"/>
      </w:pPr>
      <w:r>
        <w:rPr>
          <w:rFonts w:ascii="Times New Roman"/>
          <w:b w:val="false"/>
          <w:i w:val="false"/>
          <w:color w:val="000000"/>
          <w:sz w:val="28"/>
        </w:rPr>
        <w:t>
      3) на ключевых участках производится отчуждение растительной массы до основания и на высоте среза 2-3 см в фазах активной вегетации, начала выгорания, полного выгорания, повторного возобновления вегетации на площадках 4-10 квадратных метра;</w:t>
      </w:r>
    </w:p>
    <w:bookmarkEnd w:id="181"/>
    <w:bookmarkStart w:name="z188" w:id="182"/>
    <w:p>
      <w:pPr>
        <w:spacing w:after="0"/>
        <w:ind w:left="0"/>
        <w:jc w:val="both"/>
      </w:pPr>
      <w:r>
        <w:rPr>
          <w:rFonts w:ascii="Times New Roman"/>
          <w:b w:val="false"/>
          <w:i w:val="false"/>
          <w:color w:val="000000"/>
          <w:sz w:val="28"/>
        </w:rPr>
        <w:t>
      4) в зависимости от сложности растительного покрова, на каждой делянке (общее количество наблюдаемых делянок – 20-30) проводятся фотометрические измерения, краткое описание (рельеф, почвы, растительность) и определяются проективное покрытие, высота растений, урожайность в сухом виде с разделением массы на зеленую, пожелтевшую и сохраняющуюся в травостое в сухом состоянии;</w:t>
      </w:r>
    </w:p>
    <w:bookmarkEnd w:id="182"/>
    <w:bookmarkStart w:name="z189" w:id="183"/>
    <w:p>
      <w:pPr>
        <w:spacing w:after="0"/>
        <w:ind w:left="0"/>
        <w:jc w:val="both"/>
      </w:pPr>
      <w:r>
        <w:rPr>
          <w:rFonts w:ascii="Times New Roman"/>
          <w:b w:val="false"/>
          <w:i w:val="false"/>
          <w:color w:val="000000"/>
          <w:sz w:val="28"/>
        </w:rPr>
        <w:t>
      5) участки ежегодно картируются в масштабе 1:25000 - 1:10000;</w:t>
      </w:r>
    </w:p>
    <w:bookmarkEnd w:id="183"/>
    <w:bookmarkStart w:name="z190" w:id="184"/>
    <w:p>
      <w:pPr>
        <w:spacing w:after="0"/>
        <w:ind w:left="0"/>
        <w:jc w:val="both"/>
      </w:pPr>
      <w:r>
        <w:rPr>
          <w:rFonts w:ascii="Times New Roman"/>
          <w:b w:val="false"/>
          <w:i w:val="false"/>
          <w:color w:val="000000"/>
          <w:sz w:val="28"/>
        </w:rPr>
        <w:t>
      6) устанавливается ландшафтная структура растительного покрова и выделяются контуры картируемого участка;</w:t>
      </w:r>
    </w:p>
    <w:bookmarkEnd w:id="184"/>
    <w:bookmarkStart w:name="z191" w:id="185"/>
    <w:p>
      <w:pPr>
        <w:spacing w:after="0"/>
        <w:ind w:left="0"/>
        <w:jc w:val="both"/>
      </w:pPr>
      <w:r>
        <w:rPr>
          <w:rFonts w:ascii="Times New Roman"/>
          <w:b w:val="false"/>
          <w:i w:val="false"/>
          <w:color w:val="000000"/>
          <w:sz w:val="28"/>
        </w:rPr>
        <w:t>
      7) проводится детальное изучение и описание растительного покрова контуров (структура, состав, физиономичность, деградированность, культуртехническое состояние).</w:t>
      </w:r>
    </w:p>
    <w:bookmarkEnd w:id="185"/>
    <w:bookmarkStart w:name="z192" w:id="186"/>
    <w:p>
      <w:pPr>
        <w:spacing w:after="0"/>
        <w:ind w:left="0"/>
        <w:jc w:val="both"/>
      </w:pPr>
      <w:r>
        <w:rPr>
          <w:rFonts w:ascii="Times New Roman"/>
          <w:b w:val="false"/>
          <w:i w:val="false"/>
          <w:color w:val="000000"/>
          <w:sz w:val="28"/>
        </w:rPr>
        <w:t>
      71. В полевой период изучаются и устанавливаются следующие параметры урожайности:</w:t>
      </w:r>
    </w:p>
    <w:bookmarkEnd w:id="186"/>
    <w:bookmarkStart w:name="z193" w:id="187"/>
    <w:p>
      <w:pPr>
        <w:spacing w:after="0"/>
        <w:ind w:left="0"/>
        <w:jc w:val="both"/>
      </w:pPr>
      <w:r>
        <w:rPr>
          <w:rFonts w:ascii="Times New Roman"/>
          <w:b w:val="false"/>
          <w:i w:val="false"/>
          <w:color w:val="000000"/>
          <w:sz w:val="28"/>
        </w:rPr>
        <w:t>
      1) процентное соотношение общей фитомассы и поедаемой ее части;</w:t>
      </w:r>
    </w:p>
    <w:bookmarkEnd w:id="187"/>
    <w:bookmarkStart w:name="z194" w:id="188"/>
    <w:p>
      <w:pPr>
        <w:spacing w:after="0"/>
        <w:ind w:left="0"/>
        <w:jc w:val="both"/>
      </w:pPr>
      <w:r>
        <w:rPr>
          <w:rFonts w:ascii="Times New Roman"/>
          <w:b w:val="false"/>
          <w:i w:val="false"/>
          <w:color w:val="000000"/>
          <w:sz w:val="28"/>
        </w:rPr>
        <w:t>
      2) процент участия в общей растительной массе вредных и недоедаемых растений;</w:t>
      </w:r>
    </w:p>
    <w:bookmarkEnd w:id="188"/>
    <w:bookmarkStart w:name="z195" w:id="189"/>
    <w:p>
      <w:pPr>
        <w:spacing w:after="0"/>
        <w:ind w:left="0"/>
        <w:jc w:val="both"/>
      </w:pPr>
      <w:r>
        <w:rPr>
          <w:rFonts w:ascii="Times New Roman"/>
          <w:b w:val="false"/>
          <w:i w:val="false"/>
          <w:color w:val="000000"/>
          <w:sz w:val="28"/>
        </w:rPr>
        <w:t>
      3) сезонная динамика кормовой массы.</w:t>
      </w:r>
    </w:p>
    <w:bookmarkEnd w:id="189"/>
    <w:bookmarkStart w:name="z196" w:id="190"/>
    <w:p>
      <w:pPr>
        <w:spacing w:after="0"/>
        <w:ind w:left="0"/>
        <w:jc w:val="both"/>
      </w:pPr>
      <w:r>
        <w:rPr>
          <w:rFonts w:ascii="Times New Roman"/>
          <w:b w:val="false"/>
          <w:i w:val="false"/>
          <w:color w:val="000000"/>
          <w:sz w:val="28"/>
        </w:rPr>
        <w:t>
      В полевой период проводятся специальные наземные фотометрические работы:</w:t>
      </w:r>
    </w:p>
    <w:bookmarkEnd w:id="190"/>
    <w:bookmarkStart w:name="z197" w:id="191"/>
    <w:p>
      <w:pPr>
        <w:spacing w:after="0"/>
        <w:ind w:left="0"/>
        <w:jc w:val="both"/>
      </w:pPr>
      <w:r>
        <w:rPr>
          <w:rFonts w:ascii="Times New Roman"/>
          <w:b w:val="false"/>
          <w:i w:val="false"/>
          <w:color w:val="000000"/>
          <w:sz w:val="28"/>
        </w:rPr>
        <w:t>
      1) заложение профилей фотометрических съемок;</w:t>
      </w:r>
    </w:p>
    <w:bookmarkEnd w:id="191"/>
    <w:bookmarkStart w:name="z198" w:id="192"/>
    <w:p>
      <w:pPr>
        <w:spacing w:after="0"/>
        <w:ind w:left="0"/>
        <w:jc w:val="both"/>
      </w:pPr>
      <w:r>
        <w:rPr>
          <w:rFonts w:ascii="Times New Roman"/>
          <w:b w:val="false"/>
          <w:i w:val="false"/>
          <w:color w:val="000000"/>
          <w:sz w:val="28"/>
        </w:rPr>
        <w:t>
      2) выбор площадок для фотометрирования;</w:t>
      </w:r>
    </w:p>
    <w:bookmarkEnd w:id="192"/>
    <w:bookmarkStart w:name="z199" w:id="193"/>
    <w:p>
      <w:pPr>
        <w:spacing w:after="0"/>
        <w:ind w:left="0"/>
        <w:jc w:val="both"/>
      </w:pPr>
      <w:r>
        <w:rPr>
          <w:rFonts w:ascii="Times New Roman"/>
          <w:b w:val="false"/>
          <w:i w:val="false"/>
          <w:color w:val="000000"/>
          <w:sz w:val="28"/>
        </w:rPr>
        <w:t>
      3) замеры параметров урожайности фотометром;</w:t>
      </w:r>
    </w:p>
    <w:bookmarkEnd w:id="193"/>
    <w:bookmarkStart w:name="z200" w:id="194"/>
    <w:p>
      <w:pPr>
        <w:spacing w:after="0"/>
        <w:ind w:left="0"/>
        <w:jc w:val="both"/>
      </w:pPr>
      <w:r>
        <w:rPr>
          <w:rFonts w:ascii="Times New Roman"/>
          <w:b w:val="false"/>
          <w:i w:val="false"/>
          <w:color w:val="000000"/>
          <w:sz w:val="28"/>
        </w:rPr>
        <w:t>
      4) срез фитомассы на 30-40 площадках;</w:t>
      </w:r>
    </w:p>
    <w:bookmarkEnd w:id="194"/>
    <w:bookmarkStart w:name="z201" w:id="195"/>
    <w:p>
      <w:pPr>
        <w:spacing w:after="0"/>
        <w:ind w:left="0"/>
        <w:jc w:val="both"/>
      </w:pPr>
      <w:r>
        <w:rPr>
          <w:rFonts w:ascii="Times New Roman"/>
          <w:b w:val="false"/>
          <w:i w:val="false"/>
          <w:color w:val="000000"/>
          <w:sz w:val="28"/>
        </w:rPr>
        <w:t>
      5) разбор растений по группам;</w:t>
      </w:r>
    </w:p>
    <w:bookmarkEnd w:id="195"/>
    <w:bookmarkStart w:name="z202" w:id="196"/>
    <w:p>
      <w:pPr>
        <w:spacing w:after="0"/>
        <w:ind w:left="0"/>
        <w:jc w:val="both"/>
      </w:pPr>
      <w:r>
        <w:rPr>
          <w:rFonts w:ascii="Times New Roman"/>
          <w:b w:val="false"/>
          <w:i w:val="false"/>
          <w:color w:val="000000"/>
          <w:sz w:val="28"/>
        </w:rPr>
        <w:t>
      6) сушка, взвешивание сырой и сухой массы.</w:t>
      </w:r>
    </w:p>
    <w:bookmarkEnd w:id="196"/>
    <w:bookmarkStart w:name="z203" w:id="197"/>
    <w:p>
      <w:pPr>
        <w:spacing w:after="0"/>
        <w:ind w:left="0"/>
        <w:jc w:val="both"/>
      </w:pPr>
      <w:r>
        <w:rPr>
          <w:rFonts w:ascii="Times New Roman"/>
          <w:b w:val="false"/>
          <w:i w:val="false"/>
          <w:color w:val="000000"/>
          <w:sz w:val="28"/>
        </w:rPr>
        <w:t>
      72. В камеральный период составляется геоботаническая карта. На ее основе изготавливаются оперативные карты запаса кормов по сезонам и отчет в виде табличного материала (в первый год начала работ готовится краткая характеристика объекта наблюдений).</w:t>
      </w:r>
    </w:p>
    <w:bookmarkEnd w:id="197"/>
    <w:bookmarkStart w:name="z204" w:id="198"/>
    <w:p>
      <w:pPr>
        <w:spacing w:after="0"/>
        <w:ind w:left="0"/>
        <w:jc w:val="left"/>
      </w:pPr>
      <w:r>
        <w:rPr>
          <w:rFonts w:ascii="Times New Roman"/>
          <w:b/>
          <w:i w:val="false"/>
          <w:color w:val="000000"/>
        </w:rPr>
        <w:t xml:space="preserve"> Параграф 3. Исследования на профилях</w:t>
      </w:r>
    </w:p>
    <w:bookmarkEnd w:id="198"/>
    <w:bookmarkStart w:name="z205" w:id="199"/>
    <w:p>
      <w:pPr>
        <w:spacing w:after="0"/>
        <w:ind w:left="0"/>
        <w:jc w:val="both"/>
      </w:pPr>
      <w:r>
        <w:rPr>
          <w:rFonts w:ascii="Times New Roman"/>
          <w:b w:val="false"/>
          <w:i w:val="false"/>
          <w:color w:val="000000"/>
          <w:sz w:val="28"/>
        </w:rPr>
        <w:t>
      73. Профили закладываются для выявления общей закономерности и анализа влияния комплекса антропогенных факторов, характеристики продуктивности природных кормовых угодий в разрезе климатических зон, поясов и многообразия форм рельефа в направлении север-юг.</w:t>
      </w:r>
    </w:p>
    <w:bookmarkEnd w:id="199"/>
    <w:bookmarkStart w:name="z206" w:id="200"/>
    <w:p>
      <w:pPr>
        <w:spacing w:after="0"/>
        <w:ind w:left="0"/>
        <w:jc w:val="both"/>
      </w:pPr>
      <w:r>
        <w:rPr>
          <w:rFonts w:ascii="Times New Roman"/>
          <w:b w:val="false"/>
          <w:i w:val="false"/>
          <w:color w:val="000000"/>
          <w:sz w:val="28"/>
        </w:rPr>
        <w:t>
      74. Протяженность и ширина профиля устанавливается в зависимости от конкретных условий (ориентировочно ширина – 1 км, длина – не более 600 км).</w:t>
      </w:r>
    </w:p>
    <w:bookmarkEnd w:id="200"/>
    <w:bookmarkStart w:name="z207" w:id="201"/>
    <w:p>
      <w:pPr>
        <w:spacing w:after="0"/>
        <w:ind w:left="0"/>
        <w:jc w:val="both"/>
      </w:pPr>
      <w:r>
        <w:rPr>
          <w:rFonts w:ascii="Times New Roman"/>
          <w:b w:val="false"/>
          <w:i w:val="false"/>
          <w:color w:val="000000"/>
          <w:sz w:val="28"/>
        </w:rPr>
        <w:t>
      75. Если на территории области ранее были проложены профили, то закладка производится по тому же створу.</w:t>
      </w:r>
    </w:p>
    <w:bookmarkEnd w:id="201"/>
    <w:bookmarkStart w:name="z208" w:id="202"/>
    <w:p>
      <w:pPr>
        <w:spacing w:after="0"/>
        <w:ind w:left="0"/>
        <w:jc w:val="both"/>
      </w:pPr>
      <w:r>
        <w:rPr>
          <w:rFonts w:ascii="Times New Roman"/>
          <w:b w:val="false"/>
          <w:i w:val="false"/>
          <w:color w:val="000000"/>
          <w:sz w:val="28"/>
        </w:rPr>
        <w:t>
      76. Картографирование профиля выполняется в масштабе 1:50000.</w:t>
      </w:r>
    </w:p>
    <w:bookmarkEnd w:id="202"/>
    <w:bookmarkStart w:name="z209" w:id="203"/>
    <w:p>
      <w:pPr>
        <w:spacing w:after="0"/>
        <w:ind w:left="0"/>
        <w:jc w:val="both"/>
      </w:pPr>
      <w:r>
        <w:rPr>
          <w:rFonts w:ascii="Times New Roman"/>
          <w:b w:val="false"/>
          <w:i w:val="false"/>
          <w:color w:val="000000"/>
          <w:sz w:val="28"/>
        </w:rPr>
        <w:t>
      77. По всей длине створа в каждой зоне или поясе выбирают 3-5 ключевых участков (отрезок профиля) на характерных типах природных кормовых угодий, съемка на них производится в масштабе 1:10000. Общая площадь ключевых участков составляет 20-30% изучаемой территории.</w:t>
      </w:r>
    </w:p>
    <w:bookmarkEnd w:id="203"/>
    <w:bookmarkStart w:name="z210" w:id="204"/>
    <w:p>
      <w:pPr>
        <w:spacing w:after="0"/>
        <w:ind w:left="0"/>
        <w:jc w:val="both"/>
      </w:pPr>
      <w:r>
        <w:rPr>
          <w:rFonts w:ascii="Times New Roman"/>
          <w:b w:val="false"/>
          <w:i w:val="false"/>
          <w:color w:val="000000"/>
          <w:sz w:val="28"/>
        </w:rPr>
        <w:t>
      78. Изучение состава, структуры, продуктивности с одновременным исследованием экологических условий и результатов антропогенного влияния производится путем картографирования всего профиля в целом (1 раз в 3-5 лет) и ключевых участков ежегодно в середине каждого сезона.</w:t>
      </w:r>
    </w:p>
    <w:bookmarkEnd w:id="204"/>
    <w:bookmarkStart w:name="z211" w:id="205"/>
    <w:p>
      <w:pPr>
        <w:spacing w:after="0"/>
        <w:ind w:left="0"/>
        <w:jc w:val="left"/>
      </w:pPr>
      <w:r>
        <w:rPr>
          <w:rFonts w:ascii="Times New Roman"/>
          <w:b/>
          <w:i w:val="false"/>
          <w:color w:val="000000"/>
        </w:rPr>
        <w:t xml:space="preserve"> Параграф 4. Исследования на постоянных маршрутах и точках опорных описаний</w:t>
      </w:r>
    </w:p>
    <w:bookmarkEnd w:id="205"/>
    <w:bookmarkStart w:name="z212" w:id="206"/>
    <w:p>
      <w:pPr>
        <w:spacing w:after="0"/>
        <w:ind w:left="0"/>
        <w:jc w:val="both"/>
      </w:pPr>
      <w:r>
        <w:rPr>
          <w:rFonts w:ascii="Times New Roman"/>
          <w:b w:val="false"/>
          <w:i w:val="false"/>
          <w:color w:val="000000"/>
          <w:sz w:val="28"/>
        </w:rPr>
        <w:t>
      79. Постоянные маршруты и точки опорных описаний закладываются в широтном направлении для изучения структуры динамики урожайности типов природных кормовых угодий, характера их использования, выявления территорий, требующих особой охраны, определения современного состояния видового состава наиболее ценных типов кормовых угодий.</w:t>
      </w:r>
    </w:p>
    <w:bookmarkEnd w:id="206"/>
    <w:bookmarkStart w:name="z213" w:id="207"/>
    <w:p>
      <w:pPr>
        <w:spacing w:after="0"/>
        <w:ind w:left="0"/>
        <w:jc w:val="both"/>
      </w:pPr>
      <w:r>
        <w:rPr>
          <w:rFonts w:ascii="Times New Roman"/>
          <w:b w:val="false"/>
          <w:i w:val="false"/>
          <w:color w:val="000000"/>
          <w:sz w:val="28"/>
        </w:rPr>
        <w:t>
      80. Под наблюдение отбираются типы природных кормовых угодий на равнинных территориях и в мелкосопочнике, отражающие региональные или зональные признаки, в горах – типы вертикального поясного значения, учитывающих площадь распространения типа кормового угодья. На выбранных для наблюдения контурах в количестве от 5 (пяти) до 10 (десяти) производятся опорные описания и они фиксируются на фотопланах в масштабе 1:50000, 1:25000. Маршрут наносится на областную и районные карты (планы, схемы), где отмечается окончательное местоположение стационаров профилей, полигонов, точек опорных описаний.</w:t>
      </w:r>
    </w:p>
    <w:bookmarkEnd w:id="207"/>
    <w:bookmarkStart w:name="z214" w:id="208"/>
    <w:p>
      <w:pPr>
        <w:spacing w:after="0"/>
        <w:ind w:left="0"/>
        <w:jc w:val="both"/>
      </w:pPr>
      <w:r>
        <w:rPr>
          <w:rFonts w:ascii="Times New Roman"/>
          <w:b w:val="false"/>
          <w:i w:val="false"/>
          <w:color w:val="000000"/>
          <w:sz w:val="28"/>
        </w:rPr>
        <w:t>
      81. Работы по заложению постоянных маршрутов и проведению на них изысканий разделяются на три этапа: подготовительный, полевой, камеральный.</w:t>
      </w:r>
    </w:p>
    <w:bookmarkEnd w:id="208"/>
    <w:bookmarkStart w:name="z215" w:id="209"/>
    <w:p>
      <w:pPr>
        <w:spacing w:after="0"/>
        <w:ind w:left="0"/>
        <w:jc w:val="both"/>
      </w:pPr>
      <w:r>
        <w:rPr>
          <w:rFonts w:ascii="Times New Roman"/>
          <w:b w:val="false"/>
          <w:i w:val="false"/>
          <w:color w:val="000000"/>
          <w:sz w:val="28"/>
        </w:rPr>
        <w:t>
      82. В подготовительный период анализируются материалы обобщения. Намечается маршрут рекогносцировочного объезда территорий, намеченных для размещения стационаров, полигонов, профилей, опорных описаний. Подбираются изыскательские материалы, фотопланы, поконтурные ведомости, бланки геоботанических описаний по ходу маршрута.</w:t>
      </w:r>
    </w:p>
    <w:bookmarkEnd w:id="209"/>
    <w:bookmarkStart w:name="z216" w:id="210"/>
    <w:p>
      <w:pPr>
        <w:spacing w:after="0"/>
        <w:ind w:left="0"/>
        <w:jc w:val="both"/>
      </w:pPr>
      <w:r>
        <w:rPr>
          <w:rFonts w:ascii="Times New Roman"/>
          <w:b w:val="false"/>
          <w:i w:val="false"/>
          <w:color w:val="000000"/>
          <w:sz w:val="28"/>
        </w:rPr>
        <w:t>
      83. В полевой период в первый год работы на постоянном маршруте производится определение местоположения стационаров, полигонов, профилей и нанесение их на фотопланы. Постоянный маршрут выполняется ежегодно каждый сезон (весна, лето осень). На точках опорных описаний в намеченных контурах производится описание всех типов кормовых угодий для составления сравнительной характеристики в зависимости от погоды и сезона. По ходу маршрута ведется полевой дневник, где фиксируются все изменения в растительном покрове: общее состояние, хозяйственное использование.</w:t>
      </w:r>
    </w:p>
    <w:bookmarkEnd w:id="210"/>
    <w:bookmarkStart w:name="z217" w:id="211"/>
    <w:p>
      <w:pPr>
        <w:spacing w:after="0"/>
        <w:ind w:left="0"/>
        <w:jc w:val="both"/>
      </w:pPr>
      <w:r>
        <w:rPr>
          <w:rFonts w:ascii="Times New Roman"/>
          <w:b w:val="false"/>
          <w:i w:val="false"/>
          <w:color w:val="000000"/>
          <w:sz w:val="28"/>
        </w:rPr>
        <w:t>
      84. В камеральный период на схему области или района переносится маршрут, намеченные участки для стационаров, полигонов, профилей, точек опорных описаний. Все отобранные участки фиксируются на планшетах крупного масштаба. Описанные на опорных точках контуры оформляются в картотеку.</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 мониторинга земель</w:t>
            </w:r>
          </w:p>
        </w:tc>
      </w:tr>
    </w:tbl>
    <w:bookmarkStart w:name="z219" w:id="212"/>
    <w:p>
      <w:pPr>
        <w:spacing w:after="0"/>
        <w:ind w:left="0"/>
        <w:jc w:val="left"/>
      </w:pPr>
      <w:r>
        <w:rPr>
          <w:rFonts w:ascii="Times New Roman"/>
          <w:b/>
          <w:i w:val="false"/>
          <w:color w:val="000000"/>
        </w:rPr>
        <w:t xml:space="preserve"> Состав природных зон на территории Республики Казахстан</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природных зон, провинций, округов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зоны, провинции, округа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20"/>
              <w:ind w:left="20"/>
              <w:jc w:val="both"/>
            </w:pPr>
            <w:r>
              <w:rPr>
                <w:rFonts w:ascii="Times New Roman"/>
                <w:b w:val="false"/>
                <w:i w:val="false"/>
                <w:color w:val="000000"/>
                <w:sz w:val="20"/>
              </w:rPr>
              <w:t>
І</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І-1</w:t>
            </w:r>
          </w:p>
          <w:p>
            <w:pPr>
              <w:spacing w:after="20"/>
              <w:ind w:left="20"/>
              <w:jc w:val="both"/>
            </w:pPr>
            <w:r>
              <w:rPr>
                <w:rFonts w:ascii="Times New Roman"/>
                <w:b w:val="false"/>
                <w:i w:val="false"/>
                <w:color w:val="000000"/>
                <w:sz w:val="20"/>
              </w:rPr>
              <w:t>
І-1-1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4"/>
          <w:p>
            <w:pPr>
              <w:spacing w:after="20"/>
              <w:ind w:left="20"/>
              <w:jc w:val="both"/>
            </w:pPr>
            <w:r>
              <w:rPr>
                <w:rFonts w:ascii="Times New Roman"/>
                <w:b w:val="false"/>
                <w:i w:val="false"/>
                <w:color w:val="000000"/>
                <w:sz w:val="20"/>
              </w:rPr>
              <w:t>
Лесостепная зона:</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Западно-Сибирская</w:t>
            </w:r>
          </w:p>
          <w:p>
            <w:pPr>
              <w:spacing w:after="20"/>
              <w:ind w:left="20"/>
              <w:jc w:val="both"/>
            </w:pPr>
            <w:r>
              <w:rPr>
                <w:rFonts w:ascii="Times New Roman"/>
                <w:b w:val="false"/>
                <w:i w:val="false"/>
                <w:color w:val="000000"/>
                <w:sz w:val="20"/>
              </w:rPr>
              <w:t>
Округ: Северо-Ишимский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ІІ</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ІІ-1</w:t>
            </w:r>
          </w:p>
          <w:p>
            <w:pPr>
              <w:spacing w:after="20"/>
              <w:ind w:left="20"/>
              <w:jc w:val="both"/>
            </w:pPr>
            <w:r>
              <w:rPr>
                <w:rFonts w:ascii="Times New Roman"/>
                <w:b w:val="false"/>
                <w:i w:val="false"/>
                <w:color w:val="000000"/>
                <w:sz w:val="20"/>
              </w:rPr>
              <w:t>
</w:t>
            </w:r>
            <w:r>
              <w:rPr>
                <w:rFonts w:ascii="Times New Roman"/>
                <w:b w:val="false"/>
                <w:i w:val="false"/>
                <w:color w:val="000000"/>
                <w:sz w:val="20"/>
              </w:rPr>
              <w:t>ІІ-1-1</w:t>
            </w:r>
          </w:p>
          <w:p>
            <w:pPr>
              <w:spacing w:after="20"/>
              <w:ind w:left="20"/>
              <w:jc w:val="both"/>
            </w:pPr>
            <w:r>
              <w:rPr>
                <w:rFonts w:ascii="Times New Roman"/>
                <w:b w:val="false"/>
                <w:i w:val="false"/>
                <w:color w:val="000000"/>
                <w:sz w:val="20"/>
              </w:rPr>
              <w:t>
</w:t>
            </w:r>
            <w:r>
              <w:rPr>
                <w:rFonts w:ascii="Times New Roman"/>
                <w:b w:val="false"/>
                <w:i w:val="false"/>
                <w:color w:val="000000"/>
                <w:sz w:val="20"/>
              </w:rPr>
              <w:t>ІІ-2</w:t>
            </w:r>
          </w:p>
          <w:p>
            <w:pPr>
              <w:spacing w:after="20"/>
              <w:ind w:left="20"/>
              <w:jc w:val="both"/>
            </w:pPr>
            <w:r>
              <w:rPr>
                <w:rFonts w:ascii="Times New Roman"/>
                <w:b w:val="false"/>
                <w:i w:val="false"/>
                <w:color w:val="000000"/>
                <w:sz w:val="20"/>
              </w:rPr>
              <w:t>
</w:t>
            </w:r>
            <w:r>
              <w:rPr>
                <w:rFonts w:ascii="Times New Roman"/>
                <w:b w:val="false"/>
                <w:i w:val="false"/>
                <w:color w:val="000000"/>
                <w:sz w:val="20"/>
              </w:rPr>
              <w:t>ІІ-2-1</w:t>
            </w:r>
          </w:p>
          <w:p>
            <w:pPr>
              <w:spacing w:after="20"/>
              <w:ind w:left="20"/>
              <w:jc w:val="both"/>
            </w:pPr>
            <w:r>
              <w:rPr>
                <w:rFonts w:ascii="Times New Roman"/>
                <w:b w:val="false"/>
                <w:i w:val="false"/>
                <w:color w:val="000000"/>
                <w:sz w:val="20"/>
              </w:rPr>
              <w:t>
</w:t>
            </w:r>
            <w:r>
              <w:rPr>
                <w:rFonts w:ascii="Times New Roman"/>
                <w:b w:val="false"/>
                <w:i w:val="false"/>
                <w:color w:val="000000"/>
                <w:sz w:val="20"/>
              </w:rPr>
              <w:t>ІІ-2-2</w:t>
            </w:r>
          </w:p>
          <w:p>
            <w:pPr>
              <w:spacing w:after="20"/>
              <w:ind w:left="20"/>
              <w:jc w:val="both"/>
            </w:pPr>
            <w:r>
              <w:rPr>
                <w:rFonts w:ascii="Times New Roman"/>
                <w:b w:val="false"/>
                <w:i w:val="false"/>
                <w:color w:val="000000"/>
                <w:sz w:val="20"/>
              </w:rPr>
              <w:t>
</w:t>
            </w:r>
            <w:r>
              <w:rPr>
                <w:rFonts w:ascii="Times New Roman"/>
                <w:b w:val="false"/>
                <w:i w:val="false"/>
                <w:color w:val="000000"/>
                <w:sz w:val="20"/>
              </w:rPr>
              <w:t>ІІ-2-3</w:t>
            </w:r>
          </w:p>
          <w:p>
            <w:pPr>
              <w:spacing w:after="20"/>
              <w:ind w:left="20"/>
              <w:jc w:val="both"/>
            </w:pPr>
            <w:r>
              <w:rPr>
                <w:rFonts w:ascii="Times New Roman"/>
                <w:b w:val="false"/>
                <w:i w:val="false"/>
                <w:color w:val="000000"/>
                <w:sz w:val="20"/>
              </w:rPr>
              <w:t>
</w:t>
            </w:r>
            <w:r>
              <w:rPr>
                <w:rFonts w:ascii="Times New Roman"/>
                <w:b w:val="false"/>
                <w:i w:val="false"/>
                <w:color w:val="000000"/>
                <w:sz w:val="20"/>
              </w:rPr>
              <w:t>ІІ-2-4</w:t>
            </w:r>
          </w:p>
          <w:p>
            <w:pPr>
              <w:spacing w:after="20"/>
              <w:ind w:left="20"/>
              <w:jc w:val="both"/>
            </w:pPr>
            <w:r>
              <w:rPr>
                <w:rFonts w:ascii="Times New Roman"/>
                <w:b w:val="false"/>
                <w:i w:val="false"/>
                <w:color w:val="000000"/>
                <w:sz w:val="20"/>
              </w:rPr>
              <w:t>
</w:t>
            </w:r>
            <w:r>
              <w:rPr>
                <w:rFonts w:ascii="Times New Roman"/>
                <w:b w:val="false"/>
                <w:i w:val="false"/>
                <w:color w:val="000000"/>
                <w:sz w:val="20"/>
              </w:rPr>
              <w:t>ІІ-2-5</w:t>
            </w:r>
          </w:p>
          <w:p>
            <w:pPr>
              <w:spacing w:after="20"/>
              <w:ind w:left="20"/>
              <w:jc w:val="both"/>
            </w:pPr>
            <w:r>
              <w:rPr>
                <w:rFonts w:ascii="Times New Roman"/>
                <w:b w:val="false"/>
                <w:i w:val="false"/>
                <w:color w:val="000000"/>
                <w:sz w:val="20"/>
              </w:rPr>
              <w:t>
</w:t>
            </w:r>
            <w:r>
              <w:rPr>
                <w:rFonts w:ascii="Times New Roman"/>
                <w:b w:val="false"/>
                <w:i w:val="false"/>
                <w:color w:val="000000"/>
                <w:sz w:val="20"/>
              </w:rPr>
              <w:t>ІІ-2-6</w:t>
            </w:r>
          </w:p>
          <w:p>
            <w:pPr>
              <w:spacing w:after="20"/>
              <w:ind w:left="20"/>
              <w:jc w:val="both"/>
            </w:pPr>
            <w:r>
              <w:rPr>
                <w:rFonts w:ascii="Times New Roman"/>
                <w:b w:val="false"/>
                <w:i w:val="false"/>
                <w:color w:val="000000"/>
                <w:sz w:val="20"/>
              </w:rPr>
              <w:t>
</w:t>
            </w:r>
            <w:r>
              <w:rPr>
                <w:rFonts w:ascii="Times New Roman"/>
                <w:b w:val="false"/>
                <w:i w:val="false"/>
                <w:color w:val="000000"/>
                <w:sz w:val="20"/>
              </w:rPr>
              <w:t>ІІ-2-7</w:t>
            </w:r>
          </w:p>
          <w:p>
            <w:pPr>
              <w:spacing w:after="20"/>
              <w:ind w:left="20"/>
              <w:jc w:val="both"/>
            </w:pPr>
            <w:r>
              <w:rPr>
                <w:rFonts w:ascii="Times New Roman"/>
                <w:b w:val="false"/>
                <w:i w:val="false"/>
                <w:color w:val="000000"/>
                <w:sz w:val="20"/>
              </w:rPr>
              <w:t>
</w:t>
            </w:r>
            <w:r>
              <w:rPr>
                <w:rFonts w:ascii="Times New Roman"/>
                <w:b w:val="false"/>
                <w:i w:val="false"/>
                <w:color w:val="000000"/>
                <w:sz w:val="20"/>
              </w:rPr>
              <w:t>ІІ-2-8</w:t>
            </w:r>
          </w:p>
          <w:p>
            <w:pPr>
              <w:spacing w:after="20"/>
              <w:ind w:left="20"/>
              <w:jc w:val="both"/>
            </w:pPr>
            <w:r>
              <w:rPr>
                <w:rFonts w:ascii="Times New Roman"/>
                <w:b w:val="false"/>
                <w:i w:val="false"/>
                <w:color w:val="000000"/>
                <w:sz w:val="20"/>
              </w:rPr>
              <w:t>
</w:t>
            </w:r>
            <w:r>
              <w:rPr>
                <w:rFonts w:ascii="Times New Roman"/>
                <w:b w:val="false"/>
                <w:i w:val="false"/>
                <w:color w:val="000000"/>
                <w:sz w:val="20"/>
              </w:rPr>
              <w:t>ІІ-3</w:t>
            </w:r>
          </w:p>
          <w:p>
            <w:pPr>
              <w:spacing w:after="20"/>
              <w:ind w:left="20"/>
              <w:jc w:val="both"/>
            </w:pPr>
            <w:r>
              <w:rPr>
                <w:rFonts w:ascii="Times New Roman"/>
                <w:b w:val="false"/>
                <w:i w:val="false"/>
                <w:color w:val="000000"/>
                <w:sz w:val="20"/>
              </w:rPr>
              <w:t>
ІІ-3-1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6"/>
          <w:p>
            <w:pPr>
              <w:spacing w:after="20"/>
              <w:ind w:left="20"/>
              <w:jc w:val="both"/>
            </w:pPr>
            <w:r>
              <w:rPr>
                <w:rFonts w:ascii="Times New Roman"/>
                <w:b w:val="false"/>
                <w:i w:val="false"/>
                <w:color w:val="000000"/>
                <w:sz w:val="20"/>
              </w:rPr>
              <w:t>
Степная зона:</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Заволжская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 Илекский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Северо-Казахстанская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Зауральский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Ишимский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Шаглытенизский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Прииртышский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Кокшетауский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Степняковский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Атбасарский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Предалтайская</w:t>
            </w:r>
          </w:p>
          <w:p>
            <w:pPr>
              <w:spacing w:after="20"/>
              <w:ind w:left="20"/>
              <w:jc w:val="both"/>
            </w:pPr>
            <w:r>
              <w:rPr>
                <w:rFonts w:ascii="Times New Roman"/>
                <w:b w:val="false"/>
                <w:i w:val="false"/>
                <w:color w:val="000000"/>
                <w:sz w:val="20"/>
              </w:rPr>
              <w:t>
Округ: Предалтайский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7"/>
          <w:p>
            <w:pPr>
              <w:spacing w:after="20"/>
              <w:ind w:left="20"/>
              <w:jc w:val="both"/>
            </w:pPr>
            <w:r>
              <w:rPr>
                <w:rFonts w:ascii="Times New Roman"/>
                <w:b w:val="false"/>
                <w:i w:val="false"/>
                <w:color w:val="000000"/>
                <w:sz w:val="20"/>
              </w:rPr>
              <w:t>
ІІІ</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ІІІ-1</w:t>
            </w:r>
          </w:p>
          <w:p>
            <w:pPr>
              <w:spacing w:after="20"/>
              <w:ind w:left="20"/>
              <w:jc w:val="both"/>
            </w:pPr>
            <w:r>
              <w:rPr>
                <w:rFonts w:ascii="Times New Roman"/>
                <w:b w:val="false"/>
                <w:i w:val="false"/>
                <w:color w:val="000000"/>
                <w:sz w:val="20"/>
              </w:rPr>
              <w:t>
</w:t>
            </w:r>
            <w:r>
              <w:rPr>
                <w:rFonts w:ascii="Times New Roman"/>
                <w:b w:val="false"/>
                <w:i w:val="false"/>
                <w:color w:val="000000"/>
                <w:sz w:val="20"/>
              </w:rPr>
              <w:t>ІІІ-1-1</w:t>
            </w:r>
          </w:p>
          <w:p>
            <w:pPr>
              <w:spacing w:after="20"/>
              <w:ind w:left="20"/>
              <w:jc w:val="both"/>
            </w:pPr>
            <w:r>
              <w:rPr>
                <w:rFonts w:ascii="Times New Roman"/>
                <w:b w:val="false"/>
                <w:i w:val="false"/>
                <w:color w:val="000000"/>
                <w:sz w:val="20"/>
              </w:rPr>
              <w:t>
</w:t>
            </w:r>
            <w:r>
              <w:rPr>
                <w:rFonts w:ascii="Times New Roman"/>
                <w:b w:val="false"/>
                <w:i w:val="false"/>
                <w:color w:val="000000"/>
                <w:sz w:val="20"/>
              </w:rPr>
              <w:t>ІІІ-1-2</w:t>
            </w:r>
          </w:p>
          <w:p>
            <w:pPr>
              <w:spacing w:after="20"/>
              <w:ind w:left="20"/>
              <w:jc w:val="both"/>
            </w:pPr>
            <w:r>
              <w:rPr>
                <w:rFonts w:ascii="Times New Roman"/>
                <w:b w:val="false"/>
                <w:i w:val="false"/>
                <w:color w:val="000000"/>
                <w:sz w:val="20"/>
              </w:rPr>
              <w:t>
</w:t>
            </w:r>
            <w:r>
              <w:rPr>
                <w:rFonts w:ascii="Times New Roman"/>
                <w:b w:val="false"/>
                <w:i w:val="false"/>
                <w:color w:val="000000"/>
                <w:sz w:val="20"/>
              </w:rPr>
              <w:t>ІІІ-1-3</w:t>
            </w:r>
          </w:p>
          <w:p>
            <w:pPr>
              <w:spacing w:after="20"/>
              <w:ind w:left="20"/>
              <w:jc w:val="both"/>
            </w:pPr>
            <w:r>
              <w:rPr>
                <w:rFonts w:ascii="Times New Roman"/>
                <w:b w:val="false"/>
                <w:i w:val="false"/>
                <w:color w:val="000000"/>
                <w:sz w:val="20"/>
              </w:rPr>
              <w:t>
</w:t>
            </w:r>
            <w:r>
              <w:rPr>
                <w:rFonts w:ascii="Times New Roman"/>
                <w:b w:val="false"/>
                <w:i w:val="false"/>
                <w:color w:val="000000"/>
                <w:sz w:val="20"/>
              </w:rPr>
              <w:t>ІІІ-1-4</w:t>
            </w:r>
          </w:p>
          <w:p>
            <w:pPr>
              <w:spacing w:after="20"/>
              <w:ind w:left="20"/>
              <w:jc w:val="both"/>
            </w:pPr>
            <w:r>
              <w:rPr>
                <w:rFonts w:ascii="Times New Roman"/>
                <w:b w:val="false"/>
                <w:i w:val="false"/>
                <w:color w:val="000000"/>
                <w:sz w:val="20"/>
              </w:rPr>
              <w:t>
</w:t>
            </w:r>
            <w:r>
              <w:rPr>
                <w:rFonts w:ascii="Times New Roman"/>
                <w:b w:val="false"/>
                <w:i w:val="false"/>
                <w:color w:val="000000"/>
                <w:sz w:val="20"/>
              </w:rPr>
              <w:t>ІІІ-1-5</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ІІІ-2-1</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ІІІ-2-2</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ІІІ-2-3</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ІІІ-2-4</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ІІІ-2-5</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ІІІ-2-6</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ІІІ-2-7</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ІІІ-2-8</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ІІІ-2-9</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ІІІ-2-10</w:t>
            </w:r>
          </w:p>
          <w:p>
            <w:pPr>
              <w:spacing w:after="20"/>
              <w:ind w:left="20"/>
              <w:jc w:val="both"/>
            </w:pPr>
            <w:r>
              <w:rPr>
                <w:rFonts w:ascii="Times New Roman"/>
                <w:b w:val="false"/>
                <w:i w:val="false"/>
                <w:color w:val="000000"/>
                <w:sz w:val="20"/>
              </w:rPr>
              <w:t>
</w:t>
            </w:r>
            <w:r>
              <w:rPr>
                <w:rFonts w:ascii="Times New Roman"/>
                <w:b w:val="false"/>
                <w:i w:val="false"/>
                <w:color w:val="000000"/>
                <w:sz w:val="20"/>
              </w:rPr>
              <w:t>ІІІ-2-11</w:t>
            </w:r>
          </w:p>
          <w:p>
            <w:pPr>
              <w:spacing w:after="20"/>
              <w:ind w:left="20"/>
              <w:jc w:val="both"/>
            </w:pPr>
            <w:r>
              <w:rPr>
                <w:rFonts w:ascii="Times New Roman"/>
                <w:b w:val="false"/>
                <w:i w:val="false"/>
                <w:color w:val="000000"/>
                <w:sz w:val="20"/>
              </w:rPr>
              <w:t>
</w:t>
            </w:r>
            <w:r>
              <w:rPr>
                <w:rFonts w:ascii="Times New Roman"/>
                <w:b w:val="false"/>
                <w:i w:val="false"/>
                <w:color w:val="000000"/>
                <w:sz w:val="20"/>
              </w:rPr>
              <w:t>ІІІ-3</w:t>
            </w:r>
          </w:p>
          <w:p>
            <w:pPr>
              <w:spacing w:after="20"/>
              <w:ind w:left="20"/>
              <w:jc w:val="both"/>
            </w:pPr>
            <w:r>
              <w:rPr>
                <w:rFonts w:ascii="Times New Roman"/>
                <w:b w:val="false"/>
                <w:i w:val="false"/>
                <w:color w:val="000000"/>
                <w:sz w:val="20"/>
              </w:rPr>
              <w:t>
ІІІ-3-1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8"/>
          <w:p>
            <w:pPr>
              <w:spacing w:after="20"/>
              <w:ind w:left="20"/>
              <w:jc w:val="both"/>
            </w:pPr>
            <w:r>
              <w:rPr>
                <w:rFonts w:ascii="Times New Roman"/>
                <w:b w:val="false"/>
                <w:i w:val="false"/>
                <w:color w:val="000000"/>
                <w:sz w:val="20"/>
              </w:rPr>
              <w:t>
Сухостепная зона:</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Заволжская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Уральский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Северо-Прикаспийский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Верхне-Предуральский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Нижне-Предуральский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Мугалжарский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Центрально-Казахстанская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Зауральский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Северо-Торгайский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Средне-Торгайский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Атбасарский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Тенгизский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Карагандинский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Селеты-Шидертинский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Экибастузский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Ерейментау-Каркаралинский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Прииртышский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Западно-Кулундинский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Предалтайский</w:t>
            </w:r>
          </w:p>
          <w:p>
            <w:pPr>
              <w:spacing w:after="20"/>
              <w:ind w:left="20"/>
              <w:jc w:val="both"/>
            </w:pPr>
            <w:r>
              <w:rPr>
                <w:rFonts w:ascii="Times New Roman"/>
                <w:b w:val="false"/>
                <w:i w:val="false"/>
                <w:color w:val="000000"/>
                <w:sz w:val="20"/>
              </w:rPr>
              <w:t>
Округ: Калбинский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9"/>
          <w:p>
            <w:pPr>
              <w:spacing w:after="20"/>
              <w:ind w:left="20"/>
              <w:jc w:val="both"/>
            </w:pPr>
            <w:r>
              <w:rPr>
                <w:rFonts w:ascii="Times New Roman"/>
                <w:b w:val="false"/>
                <w:i w:val="false"/>
                <w:color w:val="000000"/>
                <w:sz w:val="20"/>
              </w:rPr>
              <w:t>
ІV</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ІV-1</w:t>
            </w:r>
          </w:p>
          <w:p>
            <w:pPr>
              <w:spacing w:after="20"/>
              <w:ind w:left="20"/>
              <w:jc w:val="both"/>
            </w:pPr>
            <w:r>
              <w:rPr>
                <w:rFonts w:ascii="Times New Roman"/>
                <w:b w:val="false"/>
                <w:i w:val="false"/>
                <w:color w:val="000000"/>
                <w:sz w:val="20"/>
              </w:rPr>
              <w:t>
</w:t>
            </w:r>
            <w:r>
              <w:rPr>
                <w:rFonts w:ascii="Times New Roman"/>
                <w:b w:val="false"/>
                <w:i w:val="false"/>
                <w:color w:val="000000"/>
                <w:sz w:val="20"/>
              </w:rPr>
              <w:t>ІV-1-1</w:t>
            </w:r>
          </w:p>
          <w:p>
            <w:pPr>
              <w:spacing w:after="20"/>
              <w:ind w:left="20"/>
              <w:jc w:val="both"/>
            </w:pPr>
            <w:r>
              <w:rPr>
                <w:rFonts w:ascii="Times New Roman"/>
                <w:b w:val="false"/>
                <w:i w:val="false"/>
                <w:color w:val="000000"/>
                <w:sz w:val="20"/>
              </w:rPr>
              <w:t>
</w:t>
            </w:r>
            <w:r>
              <w:rPr>
                <w:rFonts w:ascii="Times New Roman"/>
                <w:b w:val="false"/>
                <w:i w:val="false"/>
                <w:color w:val="000000"/>
                <w:sz w:val="20"/>
              </w:rPr>
              <w:t>ІV-1-2</w:t>
            </w:r>
          </w:p>
          <w:p>
            <w:pPr>
              <w:spacing w:after="20"/>
              <w:ind w:left="20"/>
              <w:jc w:val="both"/>
            </w:pPr>
            <w:r>
              <w:rPr>
                <w:rFonts w:ascii="Times New Roman"/>
                <w:b w:val="false"/>
                <w:i w:val="false"/>
                <w:color w:val="000000"/>
                <w:sz w:val="20"/>
              </w:rPr>
              <w:t>
</w:t>
            </w:r>
            <w:r>
              <w:rPr>
                <w:rFonts w:ascii="Times New Roman"/>
                <w:b w:val="false"/>
                <w:i w:val="false"/>
                <w:color w:val="000000"/>
                <w:sz w:val="20"/>
              </w:rPr>
              <w:t>ІV-2</w:t>
            </w:r>
          </w:p>
          <w:p>
            <w:pPr>
              <w:spacing w:after="20"/>
              <w:ind w:left="20"/>
              <w:jc w:val="both"/>
            </w:pPr>
            <w:r>
              <w:rPr>
                <w:rFonts w:ascii="Times New Roman"/>
                <w:b w:val="false"/>
                <w:i w:val="false"/>
                <w:color w:val="000000"/>
                <w:sz w:val="20"/>
              </w:rPr>
              <w:t>
</w:t>
            </w:r>
            <w:r>
              <w:rPr>
                <w:rFonts w:ascii="Times New Roman"/>
                <w:b w:val="false"/>
                <w:i w:val="false"/>
                <w:color w:val="000000"/>
                <w:sz w:val="20"/>
              </w:rPr>
              <w:t>ІV-2-1</w:t>
            </w:r>
          </w:p>
          <w:p>
            <w:pPr>
              <w:spacing w:after="20"/>
              <w:ind w:left="20"/>
              <w:jc w:val="both"/>
            </w:pPr>
            <w:r>
              <w:rPr>
                <w:rFonts w:ascii="Times New Roman"/>
                <w:b w:val="false"/>
                <w:i w:val="false"/>
                <w:color w:val="000000"/>
                <w:sz w:val="20"/>
              </w:rPr>
              <w:t>
</w:t>
            </w:r>
            <w:r>
              <w:rPr>
                <w:rFonts w:ascii="Times New Roman"/>
                <w:b w:val="false"/>
                <w:i w:val="false"/>
                <w:color w:val="000000"/>
                <w:sz w:val="20"/>
              </w:rPr>
              <w:t>ІV-2-2</w:t>
            </w:r>
          </w:p>
          <w:p>
            <w:pPr>
              <w:spacing w:after="20"/>
              <w:ind w:left="20"/>
              <w:jc w:val="both"/>
            </w:pPr>
            <w:r>
              <w:rPr>
                <w:rFonts w:ascii="Times New Roman"/>
                <w:b w:val="false"/>
                <w:i w:val="false"/>
                <w:color w:val="000000"/>
                <w:sz w:val="20"/>
              </w:rPr>
              <w:t>
</w:t>
            </w:r>
            <w:r>
              <w:rPr>
                <w:rFonts w:ascii="Times New Roman"/>
                <w:b w:val="false"/>
                <w:i w:val="false"/>
                <w:color w:val="000000"/>
                <w:sz w:val="20"/>
              </w:rPr>
              <w:t>ІV-2-3</w:t>
            </w:r>
          </w:p>
          <w:p>
            <w:pPr>
              <w:spacing w:after="20"/>
              <w:ind w:left="20"/>
              <w:jc w:val="both"/>
            </w:pPr>
            <w:r>
              <w:rPr>
                <w:rFonts w:ascii="Times New Roman"/>
                <w:b w:val="false"/>
                <w:i w:val="false"/>
                <w:color w:val="000000"/>
                <w:sz w:val="20"/>
              </w:rPr>
              <w:t>
</w:t>
            </w:r>
            <w:r>
              <w:rPr>
                <w:rFonts w:ascii="Times New Roman"/>
                <w:b w:val="false"/>
                <w:i w:val="false"/>
                <w:color w:val="000000"/>
                <w:sz w:val="20"/>
              </w:rPr>
              <w:t>ІV-2-4</w:t>
            </w:r>
          </w:p>
          <w:p>
            <w:pPr>
              <w:spacing w:after="20"/>
              <w:ind w:left="20"/>
              <w:jc w:val="both"/>
            </w:pPr>
            <w:r>
              <w:rPr>
                <w:rFonts w:ascii="Times New Roman"/>
                <w:b w:val="false"/>
                <w:i w:val="false"/>
                <w:color w:val="000000"/>
                <w:sz w:val="20"/>
              </w:rPr>
              <w:t>
</w:t>
            </w:r>
            <w:r>
              <w:rPr>
                <w:rFonts w:ascii="Times New Roman"/>
                <w:b w:val="false"/>
                <w:i w:val="false"/>
                <w:color w:val="000000"/>
                <w:sz w:val="20"/>
              </w:rPr>
              <w:t>ІV-3</w:t>
            </w:r>
          </w:p>
          <w:p>
            <w:pPr>
              <w:spacing w:after="20"/>
              <w:ind w:left="20"/>
              <w:jc w:val="both"/>
            </w:pPr>
            <w:r>
              <w:rPr>
                <w:rFonts w:ascii="Times New Roman"/>
                <w:b w:val="false"/>
                <w:i w:val="false"/>
                <w:color w:val="000000"/>
                <w:sz w:val="20"/>
              </w:rPr>
              <w:t>
ІV-3-1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0"/>
          <w:p>
            <w:pPr>
              <w:spacing w:after="20"/>
              <w:ind w:left="20"/>
              <w:jc w:val="both"/>
            </w:pPr>
            <w:r>
              <w:rPr>
                <w:rFonts w:ascii="Times New Roman"/>
                <w:b w:val="false"/>
                <w:i w:val="false"/>
                <w:color w:val="000000"/>
                <w:sz w:val="20"/>
              </w:rPr>
              <w:t>
Полупустынная зона:</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Прикаспийский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Северо-Каспийский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Уральский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Центрально-Казахстанская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Южно-Торгайский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Улытау-Сарысуйский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Кызылтасский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Чаган-Чарский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Зайсанская</w:t>
            </w:r>
          </w:p>
          <w:p>
            <w:pPr>
              <w:spacing w:after="20"/>
              <w:ind w:left="20"/>
              <w:jc w:val="both"/>
            </w:pPr>
            <w:r>
              <w:rPr>
                <w:rFonts w:ascii="Times New Roman"/>
                <w:b w:val="false"/>
                <w:i w:val="false"/>
                <w:color w:val="000000"/>
                <w:sz w:val="20"/>
              </w:rPr>
              <w:t>
Округ: Зайсанский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1"/>
          <w:p>
            <w:pPr>
              <w:spacing w:after="20"/>
              <w:ind w:left="20"/>
              <w:jc w:val="both"/>
            </w:pPr>
            <w:r>
              <w:rPr>
                <w:rFonts w:ascii="Times New Roman"/>
                <w:b w:val="false"/>
                <w:i w:val="false"/>
                <w:color w:val="000000"/>
                <w:sz w:val="20"/>
              </w:rPr>
              <w:t>
V</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V-1</w:t>
            </w:r>
          </w:p>
          <w:p>
            <w:pPr>
              <w:spacing w:after="20"/>
              <w:ind w:left="20"/>
              <w:jc w:val="both"/>
            </w:pPr>
            <w:r>
              <w:rPr>
                <w:rFonts w:ascii="Times New Roman"/>
                <w:b w:val="false"/>
                <w:i w:val="false"/>
                <w:color w:val="000000"/>
                <w:sz w:val="20"/>
              </w:rPr>
              <w:t>
</w:t>
            </w:r>
            <w:r>
              <w:rPr>
                <w:rFonts w:ascii="Times New Roman"/>
                <w:b w:val="false"/>
                <w:i w:val="false"/>
                <w:color w:val="000000"/>
                <w:sz w:val="20"/>
              </w:rPr>
              <w:t>V-1-1</w:t>
            </w:r>
          </w:p>
          <w:p>
            <w:pPr>
              <w:spacing w:after="20"/>
              <w:ind w:left="20"/>
              <w:jc w:val="both"/>
            </w:pPr>
            <w:r>
              <w:rPr>
                <w:rFonts w:ascii="Times New Roman"/>
                <w:b w:val="false"/>
                <w:i w:val="false"/>
                <w:color w:val="000000"/>
                <w:sz w:val="20"/>
              </w:rPr>
              <w:t>
</w:t>
            </w:r>
            <w:r>
              <w:rPr>
                <w:rFonts w:ascii="Times New Roman"/>
                <w:b w:val="false"/>
                <w:i w:val="false"/>
                <w:color w:val="000000"/>
                <w:sz w:val="20"/>
              </w:rPr>
              <w:t>V-1-2</w:t>
            </w:r>
          </w:p>
          <w:p>
            <w:pPr>
              <w:spacing w:after="20"/>
              <w:ind w:left="20"/>
              <w:jc w:val="both"/>
            </w:pPr>
            <w:r>
              <w:rPr>
                <w:rFonts w:ascii="Times New Roman"/>
                <w:b w:val="false"/>
                <w:i w:val="false"/>
                <w:color w:val="000000"/>
                <w:sz w:val="20"/>
              </w:rPr>
              <w:t>
</w:t>
            </w:r>
            <w:r>
              <w:rPr>
                <w:rFonts w:ascii="Times New Roman"/>
                <w:b w:val="false"/>
                <w:i w:val="false"/>
                <w:color w:val="000000"/>
                <w:sz w:val="20"/>
              </w:rPr>
              <w:t>V-1-3</w:t>
            </w:r>
          </w:p>
          <w:p>
            <w:pPr>
              <w:spacing w:after="20"/>
              <w:ind w:left="20"/>
              <w:jc w:val="both"/>
            </w:pPr>
            <w:r>
              <w:rPr>
                <w:rFonts w:ascii="Times New Roman"/>
                <w:b w:val="false"/>
                <w:i w:val="false"/>
                <w:color w:val="000000"/>
                <w:sz w:val="20"/>
              </w:rPr>
              <w:t>
</w:t>
            </w:r>
            <w:r>
              <w:rPr>
                <w:rFonts w:ascii="Times New Roman"/>
                <w:b w:val="false"/>
                <w:i w:val="false"/>
                <w:color w:val="000000"/>
                <w:sz w:val="20"/>
              </w:rPr>
              <w:t>V-1-4</w:t>
            </w:r>
          </w:p>
          <w:p>
            <w:pPr>
              <w:spacing w:after="20"/>
              <w:ind w:left="20"/>
              <w:jc w:val="both"/>
            </w:pPr>
            <w:r>
              <w:rPr>
                <w:rFonts w:ascii="Times New Roman"/>
                <w:b w:val="false"/>
                <w:i w:val="false"/>
                <w:color w:val="000000"/>
                <w:sz w:val="20"/>
              </w:rPr>
              <w:t>
</w:t>
            </w:r>
            <w:r>
              <w:rPr>
                <w:rFonts w:ascii="Times New Roman"/>
                <w:b w:val="false"/>
                <w:i w:val="false"/>
                <w:color w:val="000000"/>
                <w:sz w:val="20"/>
              </w:rPr>
              <w:t>V-1-5</w:t>
            </w:r>
          </w:p>
          <w:p>
            <w:pPr>
              <w:spacing w:after="20"/>
              <w:ind w:left="20"/>
              <w:jc w:val="both"/>
            </w:pPr>
            <w:r>
              <w:rPr>
                <w:rFonts w:ascii="Times New Roman"/>
                <w:b w:val="false"/>
                <w:i w:val="false"/>
                <w:color w:val="000000"/>
                <w:sz w:val="20"/>
              </w:rPr>
              <w:t>
</w:t>
            </w:r>
            <w:r>
              <w:rPr>
                <w:rFonts w:ascii="Times New Roman"/>
                <w:b w:val="false"/>
                <w:i w:val="false"/>
                <w:color w:val="000000"/>
                <w:sz w:val="20"/>
              </w:rPr>
              <w:t>V-1-6</w:t>
            </w:r>
          </w:p>
          <w:p>
            <w:pPr>
              <w:spacing w:after="20"/>
              <w:ind w:left="20"/>
              <w:jc w:val="both"/>
            </w:pPr>
            <w:r>
              <w:rPr>
                <w:rFonts w:ascii="Times New Roman"/>
                <w:b w:val="false"/>
                <w:i w:val="false"/>
                <w:color w:val="000000"/>
                <w:sz w:val="20"/>
              </w:rPr>
              <w:t>
</w:t>
            </w:r>
            <w:r>
              <w:rPr>
                <w:rFonts w:ascii="Times New Roman"/>
                <w:b w:val="false"/>
                <w:i w:val="false"/>
                <w:color w:val="000000"/>
                <w:sz w:val="20"/>
              </w:rPr>
              <w:t>V-2</w:t>
            </w:r>
          </w:p>
          <w:p>
            <w:pPr>
              <w:spacing w:after="20"/>
              <w:ind w:left="20"/>
              <w:jc w:val="both"/>
            </w:pPr>
            <w:r>
              <w:rPr>
                <w:rFonts w:ascii="Times New Roman"/>
                <w:b w:val="false"/>
                <w:i w:val="false"/>
                <w:color w:val="000000"/>
                <w:sz w:val="20"/>
              </w:rPr>
              <w:t>
</w:t>
            </w:r>
            <w:r>
              <w:rPr>
                <w:rFonts w:ascii="Times New Roman"/>
                <w:b w:val="false"/>
                <w:i w:val="false"/>
                <w:color w:val="000000"/>
                <w:sz w:val="20"/>
              </w:rPr>
              <w:t>V-2-1</w:t>
            </w:r>
          </w:p>
          <w:p>
            <w:pPr>
              <w:spacing w:after="20"/>
              <w:ind w:left="20"/>
              <w:jc w:val="both"/>
            </w:pPr>
            <w:r>
              <w:rPr>
                <w:rFonts w:ascii="Times New Roman"/>
                <w:b w:val="false"/>
                <w:i w:val="false"/>
                <w:color w:val="000000"/>
                <w:sz w:val="20"/>
              </w:rPr>
              <w:t>
</w:t>
            </w:r>
            <w:r>
              <w:rPr>
                <w:rFonts w:ascii="Times New Roman"/>
                <w:b w:val="false"/>
                <w:i w:val="false"/>
                <w:color w:val="000000"/>
                <w:sz w:val="20"/>
              </w:rPr>
              <w:t>V-2-2</w:t>
            </w:r>
          </w:p>
          <w:p>
            <w:pPr>
              <w:spacing w:after="20"/>
              <w:ind w:left="20"/>
              <w:jc w:val="both"/>
            </w:pPr>
            <w:r>
              <w:rPr>
                <w:rFonts w:ascii="Times New Roman"/>
                <w:b w:val="false"/>
                <w:i w:val="false"/>
                <w:color w:val="000000"/>
                <w:sz w:val="20"/>
              </w:rPr>
              <w:t>
</w:t>
            </w:r>
            <w:r>
              <w:rPr>
                <w:rFonts w:ascii="Times New Roman"/>
                <w:b w:val="false"/>
                <w:i w:val="false"/>
                <w:color w:val="000000"/>
                <w:sz w:val="20"/>
              </w:rPr>
              <w:t>V-2-3</w:t>
            </w:r>
          </w:p>
          <w:p>
            <w:pPr>
              <w:spacing w:after="20"/>
              <w:ind w:left="20"/>
              <w:jc w:val="both"/>
            </w:pPr>
            <w:r>
              <w:rPr>
                <w:rFonts w:ascii="Times New Roman"/>
                <w:b w:val="false"/>
                <w:i w:val="false"/>
                <w:color w:val="000000"/>
                <w:sz w:val="20"/>
              </w:rPr>
              <w:t>
</w:t>
            </w:r>
            <w:r>
              <w:rPr>
                <w:rFonts w:ascii="Times New Roman"/>
                <w:b w:val="false"/>
                <w:i w:val="false"/>
                <w:color w:val="000000"/>
                <w:sz w:val="20"/>
              </w:rPr>
              <w:t>V-2-4</w:t>
            </w:r>
          </w:p>
          <w:p>
            <w:pPr>
              <w:spacing w:after="20"/>
              <w:ind w:left="20"/>
              <w:jc w:val="both"/>
            </w:pPr>
            <w:r>
              <w:rPr>
                <w:rFonts w:ascii="Times New Roman"/>
                <w:b w:val="false"/>
                <w:i w:val="false"/>
                <w:color w:val="000000"/>
                <w:sz w:val="20"/>
              </w:rPr>
              <w:t>
</w:t>
            </w:r>
            <w:r>
              <w:rPr>
                <w:rFonts w:ascii="Times New Roman"/>
                <w:b w:val="false"/>
                <w:i w:val="false"/>
                <w:color w:val="000000"/>
                <w:sz w:val="20"/>
              </w:rPr>
              <w:t>V-2-5</w:t>
            </w:r>
          </w:p>
          <w:p>
            <w:pPr>
              <w:spacing w:after="20"/>
              <w:ind w:left="20"/>
              <w:jc w:val="both"/>
            </w:pPr>
            <w:r>
              <w:rPr>
                <w:rFonts w:ascii="Times New Roman"/>
                <w:b w:val="false"/>
                <w:i w:val="false"/>
                <w:color w:val="000000"/>
                <w:sz w:val="20"/>
              </w:rPr>
              <w:t>
</w:t>
            </w:r>
            <w:r>
              <w:rPr>
                <w:rFonts w:ascii="Times New Roman"/>
                <w:b w:val="false"/>
                <w:i w:val="false"/>
                <w:color w:val="000000"/>
                <w:sz w:val="20"/>
              </w:rPr>
              <w:t>V-2-6</w:t>
            </w:r>
          </w:p>
          <w:p>
            <w:pPr>
              <w:spacing w:after="20"/>
              <w:ind w:left="20"/>
              <w:jc w:val="both"/>
            </w:pPr>
            <w:r>
              <w:rPr>
                <w:rFonts w:ascii="Times New Roman"/>
                <w:b w:val="false"/>
                <w:i w:val="false"/>
                <w:color w:val="000000"/>
                <w:sz w:val="20"/>
              </w:rPr>
              <w:t>
</w:t>
            </w:r>
            <w:r>
              <w:rPr>
                <w:rFonts w:ascii="Times New Roman"/>
                <w:b w:val="false"/>
                <w:i w:val="false"/>
                <w:color w:val="000000"/>
                <w:sz w:val="20"/>
              </w:rPr>
              <w:t>V-2-7</w:t>
            </w:r>
          </w:p>
          <w:p>
            <w:pPr>
              <w:spacing w:after="20"/>
              <w:ind w:left="20"/>
              <w:jc w:val="both"/>
            </w:pPr>
            <w:r>
              <w:rPr>
                <w:rFonts w:ascii="Times New Roman"/>
                <w:b w:val="false"/>
                <w:i w:val="false"/>
                <w:color w:val="000000"/>
                <w:sz w:val="20"/>
              </w:rPr>
              <w:t>
</w:t>
            </w:r>
            <w:r>
              <w:rPr>
                <w:rFonts w:ascii="Times New Roman"/>
                <w:b w:val="false"/>
                <w:i w:val="false"/>
                <w:color w:val="000000"/>
                <w:sz w:val="20"/>
              </w:rPr>
              <w:t>V-2-8</w:t>
            </w:r>
          </w:p>
          <w:p>
            <w:pPr>
              <w:spacing w:after="20"/>
              <w:ind w:left="20"/>
              <w:jc w:val="both"/>
            </w:pPr>
            <w:r>
              <w:rPr>
                <w:rFonts w:ascii="Times New Roman"/>
                <w:b w:val="false"/>
                <w:i w:val="false"/>
                <w:color w:val="000000"/>
                <w:sz w:val="20"/>
              </w:rPr>
              <w:t>
</w:t>
            </w:r>
            <w:r>
              <w:rPr>
                <w:rFonts w:ascii="Times New Roman"/>
                <w:b w:val="false"/>
                <w:i w:val="false"/>
                <w:color w:val="000000"/>
                <w:sz w:val="20"/>
              </w:rPr>
              <w:t>V-2-9</w:t>
            </w:r>
          </w:p>
          <w:p>
            <w:pPr>
              <w:spacing w:after="20"/>
              <w:ind w:left="20"/>
              <w:jc w:val="both"/>
            </w:pPr>
            <w:r>
              <w:rPr>
                <w:rFonts w:ascii="Times New Roman"/>
                <w:b w:val="false"/>
                <w:i w:val="false"/>
                <w:color w:val="000000"/>
                <w:sz w:val="20"/>
              </w:rPr>
              <w:t>
V-2-10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22"/>
          <w:p>
            <w:pPr>
              <w:spacing w:after="20"/>
              <w:ind w:left="20"/>
              <w:jc w:val="both"/>
            </w:pPr>
            <w:r>
              <w:rPr>
                <w:rFonts w:ascii="Times New Roman"/>
                <w:b w:val="false"/>
                <w:i w:val="false"/>
                <w:color w:val="000000"/>
                <w:sz w:val="20"/>
              </w:rPr>
              <w:t>
Пустынная зона:</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Арало-Каспийская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Нарынский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Эмбенский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Приморский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Бузачинский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Мангышлакский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Устюртский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Арало-Балхашская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Приаральский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Сарысуйский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Северо-Балхашский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Средне-Сырдарьинский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Кызыл-Кумский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Сырдарьинский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Бетпакдалинский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Муюнкумский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Прибалхашский</w:t>
            </w:r>
          </w:p>
          <w:p>
            <w:pPr>
              <w:spacing w:after="20"/>
              <w:ind w:left="20"/>
              <w:jc w:val="both"/>
            </w:pPr>
            <w:r>
              <w:rPr>
                <w:rFonts w:ascii="Times New Roman"/>
                <w:b w:val="false"/>
                <w:i w:val="false"/>
                <w:color w:val="000000"/>
                <w:sz w:val="20"/>
              </w:rPr>
              <w:t>
Балхаш-Алакульский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23"/>
          <w:p>
            <w:pPr>
              <w:spacing w:after="20"/>
              <w:ind w:left="20"/>
              <w:jc w:val="both"/>
            </w:pPr>
            <w:r>
              <w:rPr>
                <w:rFonts w:ascii="Times New Roman"/>
                <w:b w:val="false"/>
                <w:i w:val="false"/>
                <w:color w:val="000000"/>
                <w:sz w:val="20"/>
              </w:rPr>
              <w:t>
VІ</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VІ-1</w:t>
            </w:r>
          </w:p>
          <w:p>
            <w:pPr>
              <w:spacing w:after="20"/>
              <w:ind w:left="20"/>
              <w:jc w:val="both"/>
            </w:pPr>
            <w:r>
              <w:rPr>
                <w:rFonts w:ascii="Times New Roman"/>
                <w:b w:val="false"/>
                <w:i w:val="false"/>
                <w:color w:val="000000"/>
                <w:sz w:val="20"/>
              </w:rPr>
              <w:t>
</w:t>
            </w:r>
            <w:r>
              <w:rPr>
                <w:rFonts w:ascii="Times New Roman"/>
                <w:b w:val="false"/>
                <w:i w:val="false"/>
                <w:color w:val="000000"/>
                <w:sz w:val="20"/>
              </w:rPr>
              <w:t>VІ-1-1</w:t>
            </w:r>
          </w:p>
          <w:p>
            <w:pPr>
              <w:spacing w:after="20"/>
              <w:ind w:left="20"/>
              <w:jc w:val="both"/>
            </w:pPr>
            <w:r>
              <w:rPr>
                <w:rFonts w:ascii="Times New Roman"/>
                <w:b w:val="false"/>
                <w:i w:val="false"/>
                <w:color w:val="000000"/>
                <w:sz w:val="20"/>
              </w:rPr>
              <w:t>
</w:t>
            </w:r>
            <w:r>
              <w:rPr>
                <w:rFonts w:ascii="Times New Roman"/>
                <w:b w:val="false"/>
                <w:i w:val="false"/>
                <w:color w:val="000000"/>
                <w:sz w:val="20"/>
              </w:rPr>
              <w:t>VІ-1-2</w:t>
            </w:r>
          </w:p>
          <w:p>
            <w:pPr>
              <w:spacing w:after="20"/>
              <w:ind w:left="20"/>
              <w:jc w:val="both"/>
            </w:pPr>
            <w:r>
              <w:rPr>
                <w:rFonts w:ascii="Times New Roman"/>
                <w:b w:val="false"/>
                <w:i w:val="false"/>
                <w:color w:val="000000"/>
                <w:sz w:val="20"/>
              </w:rPr>
              <w:t>
</w:t>
            </w:r>
            <w:r>
              <w:rPr>
                <w:rFonts w:ascii="Times New Roman"/>
                <w:b w:val="false"/>
                <w:i w:val="false"/>
                <w:color w:val="000000"/>
                <w:sz w:val="20"/>
              </w:rPr>
              <w:t>VІ-1-3</w:t>
            </w:r>
          </w:p>
          <w:p>
            <w:pPr>
              <w:spacing w:after="20"/>
              <w:ind w:left="20"/>
              <w:jc w:val="both"/>
            </w:pPr>
            <w:r>
              <w:rPr>
                <w:rFonts w:ascii="Times New Roman"/>
                <w:b w:val="false"/>
                <w:i w:val="false"/>
                <w:color w:val="000000"/>
                <w:sz w:val="20"/>
              </w:rPr>
              <w:t>
VІ-1-4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24"/>
          <w:p>
            <w:pPr>
              <w:spacing w:after="20"/>
              <w:ind w:left="20"/>
              <w:jc w:val="both"/>
            </w:pPr>
            <w:r>
              <w:rPr>
                <w:rFonts w:ascii="Times New Roman"/>
                <w:b w:val="false"/>
                <w:i w:val="false"/>
                <w:color w:val="000000"/>
                <w:sz w:val="20"/>
              </w:rPr>
              <w:t>
Предгорно-пустынно-степная зона:</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Южно-Казахстанская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Западно-Каратауско-Киргизский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Центрально-Заилийский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Джунгарский</w:t>
            </w:r>
          </w:p>
          <w:p>
            <w:pPr>
              <w:spacing w:after="20"/>
              <w:ind w:left="20"/>
              <w:jc w:val="both"/>
            </w:pPr>
            <w:r>
              <w:rPr>
                <w:rFonts w:ascii="Times New Roman"/>
                <w:b w:val="false"/>
                <w:i w:val="false"/>
                <w:color w:val="000000"/>
                <w:sz w:val="20"/>
              </w:rPr>
              <w:t>
Тарбагатайский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5"/>
          <w:p>
            <w:pPr>
              <w:spacing w:after="20"/>
              <w:ind w:left="20"/>
              <w:jc w:val="both"/>
            </w:pPr>
            <w:r>
              <w:rPr>
                <w:rFonts w:ascii="Times New Roman"/>
                <w:b w:val="false"/>
                <w:i w:val="false"/>
                <w:color w:val="000000"/>
                <w:sz w:val="20"/>
              </w:rPr>
              <w:t>
VІІ</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VІІ-1</w:t>
            </w:r>
          </w:p>
          <w:p>
            <w:pPr>
              <w:spacing w:after="20"/>
              <w:ind w:left="20"/>
              <w:jc w:val="both"/>
            </w:pPr>
            <w:r>
              <w:rPr>
                <w:rFonts w:ascii="Times New Roman"/>
                <w:b w:val="false"/>
                <w:i w:val="false"/>
                <w:color w:val="000000"/>
                <w:sz w:val="20"/>
              </w:rPr>
              <w:t>
</w:t>
            </w:r>
            <w:r>
              <w:rPr>
                <w:rFonts w:ascii="Times New Roman"/>
                <w:b w:val="false"/>
                <w:i w:val="false"/>
                <w:color w:val="000000"/>
                <w:sz w:val="20"/>
              </w:rPr>
              <w:t>VІІ-1-1</w:t>
            </w:r>
          </w:p>
          <w:p>
            <w:pPr>
              <w:spacing w:after="20"/>
              <w:ind w:left="20"/>
              <w:jc w:val="both"/>
            </w:pPr>
            <w:r>
              <w:rPr>
                <w:rFonts w:ascii="Times New Roman"/>
                <w:b w:val="false"/>
                <w:i w:val="false"/>
                <w:color w:val="000000"/>
                <w:sz w:val="20"/>
              </w:rPr>
              <w:t>
VІІ-1-2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26"/>
          <w:p>
            <w:pPr>
              <w:spacing w:after="20"/>
              <w:ind w:left="20"/>
              <w:jc w:val="both"/>
            </w:pPr>
            <w:r>
              <w:rPr>
                <w:rFonts w:ascii="Times New Roman"/>
                <w:b w:val="false"/>
                <w:i w:val="false"/>
                <w:color w:val="000000"/>
                <w:sz w:val="20"/>
              </w:rPr>
              <w:t>
Субтропическая пустынная зона:</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Среднеазиатская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Южно-Устюртский</w:t>
            </w:r>
          </w:p>
          <w:p>
            <w:pPr>
              <w:spacing w:after="20"/>
              <w:ind w:left="20"/>
              <w:jc w:val="both"/>
            </w:pPr>
            <w:r>
              <w:rPr>
                <w:rFonts w:ascii="Times New Roman"/>
                <w:b w:val="false"/>
                <w:i w:val="false"/>
                <w:color w:val="000000"/>
                <w:sz w:val="20"/>
              </w:rPr>
              <w:t>
Верхне-Сырдарьинский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27"/>
          <w:p>
            <w:pPr>
              <w:spacing w:after="20"/>
              <w:ind w:left="20"/>
              <w:jc w:val="both"/>
            </w:pPr>
            <w:r>
              <w:rPr>
                <w:rFonts w:ascii="Times New Roman"/>
                <w:b w:val="false"/>
                <w:i w:val="false"/>
                <w:color w:val="000000"/>
                <w:sz w:val="20"/>
              </w:rPr>
              <w:t>
VІІІ</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VІІІ-1</w:t>
            </w:r>
          </w:p>
          <w:p>
            <w:pPr>
              <w:spacing w:after="20"/>
              <w:ind w:left="20"/>
              <w:jc w:val="both"/>
            </w:pPr>
            <w:r>
              <w:rPr>
                <w:rFonts w:ascii="Times New Roman"/>
                <w:b w:val="false"/>
                <w:i w:val="false"/>
                <w:color w:val="000000"/>
                <w:sz w:val="20"/>
              </w:rPr>
              <w:t>
</w:t>
            </w:r>
            <w:r>
              <w:rPr>
                <w:rFonts w:ascii="Times New Roman"/>
                <w:b w:val="false"/>
                <w:i w:val="false"/>
                <w:color w:val="000000"/>
                <w:sz w:val="20"/>
              </w:rPr>
              <w:t>VІІІ-1-1</w:t>
            </w:r>
          </w:p>
          <w:p>
            <w:pPr>
              <w:spacing w:after="20"/>
              <w:ind w:left="20"/>
              <w:jc w:val="both"/>
            </w:pPr>
            <w:r>
              <w:rPr>
                <w:rFonts w:ascii="Times New Roman"/>
                <w:b w:val="false"/>
                <w:i w:val="false"/>
                <w:color w:val="000000"/>
                <w:sz w:val="20"/>
              </w:rPr>
              <w:t>
VІІІ-1-2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28"/>
          <w:p>
            <w:pPr>
              <w:spacing w:after="20"/>
              <w:ind w:left="20"/>
              <w:jc w:val="both"/>
            </w:pPr>
            <w:r>
              <w:rPr>
                <w:rFonts w:ascii="Times New Roman"/>
                <w:b w:val="false"/>
                <w:i w:val="false"/>
                <w:color w:val="000000"/>
                <w:sz w:val="20"/>
              </w:rPr>
              <w:t>
Суптропическо-предгорно-пустынная зона:</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Провинция Среднеазиатская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Округа: Арысь-Туркестанский</w:t>
            </w:r>
          </w:p>
          <w:p>
            <w:pPr>
              <w:spacing w:after="20"/>
              <w:ind w:left="20"/>
              <w:jc w:val="both"/>
            </w:pPr>
            <w:r>
              <w:rPr>
                <w:rFonts w:ascii="Times New Roman"/>
                <w:b w:val="false"/>
                <w:i w:val="false"/>
                <w:color w:val="000000"/>
                <w:sz w:val="20"/>
              </w:rPr>
              <w:t>
Чардаринский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9"/>
          <w:p>
            <w:pPr>
              <w:spacing w:after="20"/>
              <w:ind w:left="20"/>
              <w:jc w:val="both"/>
            </w:pPr>
            <w:r>
              <w:rPr>
                <w:rFonts w:ascii="Times New Roman"/>
                <w:b w:val="false"/>
                <w:i w:val="false"/>
                <w:color w:val="000000"/>
                <w:sz w:val="20"/>
              </w:rPr>
              <w:t>
ІX</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ІX-1</w:t>
            </w:r>
          </w:p>
          <w:p>
            <w:pPr>
              <w:spacing w:after="20"/>
              <w:ind w:left="20"/>
              <w:jc w:val="both"/>
            </w:pPr>
            <w:r>
              <w:rPr>
                <w:rFonts w:ascii="Times New Roman"/>
                <w:b w:val="false"/>
                <w:i w:val="false"/>
                <w:color w:val="000000"/>
                <w:sz w:val="20"/>
              </w:rPr>
              <w:t>
</w:t>
            </w:r>
            <w:r>
              <w:rPr>
                <w:rFonts w:ascii="Times New Roman"/>
                <w:b w:val="false"/>
                <w:i w:val="false"/>
                <w:color w:val="000000"/>
                <w:sz w:val="20"/>
              </w:rPr>
              <w:t>ІX-2</w:t>
            </w:r>
          </w:p>
          <w:p>
            <w:pPr>
              <w:spacing w:after="20"/>
              <w:ind w:left="20"/>
              <w:jc w:val="both"/>
            </w:pPr>
            <w:r>
              <w:rPr>
                <w:rFonts w:ascii="Times New Roman"/>
                <w:b w:val="false"/>
                <w:i w:val="false"/>
                <w:color w:val="000000"/>
                <w:sz w:val="20"/>
              </w:rPr>
              <w:t>
</w:t>
            </w:r>
            <w:r>
              <w:rPr>
                <w:rFonts w:ascii="Times New Roman"/>
                <w:b w:val="false"/>
                <w:i w:val="false"/>
                <w:color w:val="000000"/>
                <w:sz w:val="20"/>
              </w:rPr>
              <w:t>ІX-3</w:t>
            </w:r>
          </w:p>
          <w:p>
            <w:pPr>
              <w:spacing w:after="20"/>
              <w:ind w:left="20"/>
              <w:jc w:val="both"/>
            </w:pPr>
            <w:r>
              <w:rPr>
                <w:rFonts w:ascii="Times New Roman"/>
                <w:b w:val="false"/>
                <w:i w:val="false"/>
                <w:color w:val="000000"/>
                <w:sz w:val="20"/>
              </w:rPr>
              <w:t>
ІX-4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0"/>
          <w:p>
            <w:pPr>
              <w:spacing w:after="20"/>
              <w:ind w:left="20"/>
              <w:jc w:val="both"/>
            </w:pPr>
            <w:r>
              <w:rPr>
                <w:rFonts w:ascii="Times New Roman"/>
                <w:b w:val="false"/>
                <w:i w:val="false"/>
                <w:color w:val="000000"/>
                <w:sz w:val="20"/>
              </w:rPr>
              <w:t>
Среднеазиатская горная зона:</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Округа: Западно-Тяньшанский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Северо-Тяньшанский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Джунгарский</w:t>
            </w:r>
          </w:p>
          <w:p>
            <w:pPr>
              <w:spacing w:after="20"/>
              <w:ind w:left="20"/>
              <w:jc w:val="both"/>
            </w:pPr>
            <w:r>
              <w:rPr>
                <w:rFonts w:ascii="Times New Roman"/>
                <w:b w:val="false"/>
                <w:i w:val="false"/>
                <w:color w:val="000000"/>
                <w:sz w:val="20"/>
              </w:rPr>
              <w:t>
Саур-Тарбогатайский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31"/>
          <w:p>
            <w:pPr>
              <w:spacing w:after="20"/>
              <w:ind w:left="20"/>
              <w:jc w:val="both"/>
            </w:pPr>
            <w:r>
              <w:rPr>
                <w:rFonts w:ascii="Times New Roman"/>
                <w:b w:val="false"/>
                <w:i w:val="false"/>
                <w:color w:val="000000"/>
                <w:sz w:val="20"/>
              </w:rPr>
              <w:t>
X</w:t>
            </w:r>
          </w:p>
          <w:bookmarkEnd w:id="231"/>
          <w:p>
            <w:pPr>
              <w:spacing w:after="20"/>
              <w:ind w:left="20"/>
              <w:jc w:val="both"/>
            </w:pPr>
            <w:r>
              <w:rPr>
                <w:rFonts w:ascii="Times New Roman"/>
                <w:b w:val="false"/>
                <w:i w:val="false"/>
                <w:color w:val="000000"/>
                <w:sz w:val="20"/>
              </w:rPr>
              <w:t>
X-1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2"/>
          <w:p>
            <w:pPr>
              <w:spacing w:after="20"/>
              <w:ind w:left="20"/>
              <w:jc w:val="both"/>
            </w:pPr>
            <w:r>
              <w:rPr>
                <w:rFonts w:ascii="Times New Roman"/>
                <w:b w:val="false"/>
                <w:i w:val="false"/>
                <w:color w:val="000000"/>
                <w:sz w:val="20"/>
              </w:rPr>
              <w:t>
Южно-сибирская горная зона:</w:t>
            </w:r>
          </w:p>
          <w:bookmarkEnd w:id="232"/>
          <w:p>
            <w:pPr>
              <w:spacing w:after="20"/>
              <w:ind w:left="20"/>
              <w:jc w:val="both"/>
            </w:pPr>
            <w:r>
              <w:rPr>
                <w:rFonts w:ascii="Times New Roman"/>
                <w:b w:val="false"/>
                <w:i w:val="false"/>
                <w:color w:val="000000"/>
                <w:sz w:val="20"/>
              </w:rPr>
              <w:t>
Округ: Алтайский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земель</w:t>
            </w:r>
          </w:p>
        </w:tc>
      </w:tr>
    </w:tbl>
    <w:bookmarkStart w:name="z379" w:id="233"/>
    <w:p>
      <w:pPr>
        <w:spacing w:after="0"/>
        <w:ind w:left="0"/>
        <w:jc w:val="left"/>
      </w:pPr>
      <w:r>
        <w:rPr>
          <w:rFonts w:ascii="Times New Roman"/>
          <w:b/>
          <w:i w:val="false"/>
          <w:color w:val="000000"/>
        </w:rPr>
        <w:t xml:space="preserve"> Ведомость определения почвенных доминантов области</w:t>
      </w:r>
    </w:p>
    <w:bookmarkEnd w:id="233"/>
    <w:p>
      <w:pPr>
        <w:spacing w:after="0"/>
        <w:ind w:left="0"/>
        <w:jc w:val="both"/>
      </w:pPr>
      <w:bookmarkStart w:name="z380" w:id="234"/>
      <w:r>
        <w:rPr>
          <w:rFonts w:ascii="Times New Roman"/>
          <w:b w:val="false"/>
          <w:i w:val="false"/>
          <w:color w:val="000000"/>
          <w:sz w:val="28"/>
        </w:rPr>
        <w:t>
      Область ___________________________</w:t>
      </w:r>
    </w:p>
    <w:bookmarkEnd w:id="234"/>
    <w:p>
      <w:pPr>
        <w:spacing w:after="0"/>
        <w:ind w:left="0"/>
        <w:jc w:val="both"/>
      </w:pPr>
      <w:r>
        <w:rPr>
          <w:rFonts w:ascii="Times New Roman"/>
          <w:b w:val="false"/>
          <w:i w:val="false"/>
          <w:color w:val="000000"/>
          <w:sz w:val="28"/>
        </w:rPr>
        <w:t xml:space="preserve">       Сельскохозяйственное угодье ______________________</w:t>
      </w:r>
    </w:p>
    <w:p>
      <w:pPr>
        <w:spacing w:after="0"/>
        <w:ind w:left="0"/>
        <w:jc w:val="both"/>
      </w:pPr>
      <w:r>
        <w:rPr>
          <w:rFonts w:ascii="Times New Roman"/>
          <w:b w:val="false"/>
          <w:i w:val="false"/>
          <w:color w:val="000000"/>
          <w:sz w:val="28"/>
        </w:rPr>
        <w:t xml:space="preserve">       Площадь сельскогохозяйственного угодья ______________</w:t>
      </w:r>
    </w:p>
    <w:p>
      <w:pPr>
        <w:spacing w:after="0"/>
        <w:ind w:left="0"/>
        <w:jc w:val="both"/>
      </w:pPr>
      <w:r>
        <w:rPr>
          <w:rFonts w:ascii="Times New Roman"/>
          <w:b w:val="false"/>
          <w:i w:val="false"/>
          <w:color w:val="000000"/>
          <w:sz w:val="28"/>
        </w:rPr>
        <w:t xml:space="preserve">       Зона (подзона)_______________</w:t>
      </w:r>
    </w:p>
    <w:p>
      <w:pPr>
        <w:spacing w:after="0"/>
        <w:ind w:left="0"/>
        <w:jc w:val="both"/>
      </w:pPr>
      <w:r>
        <w:rPr>
          <w:rFonts w:ascii="Times New Roman"/>
          <w:b w:val="false"/>
          <w:i w:val="false"/>
          <w:color w:val="000000"/>
          <w:sz w:val="28"/>
        </w:rPr>
        <w:t xml:space="preserve">       Провинция _________________</w:t>
      </w:r>
    </w:p>
    <w:p>
      <w:pPr>
        <w:spacing w:after="0"/>
        <w:ind w:left="0"/>
        <w:jc w:val="both"/>
      </w:pPr>
      <w:r>
        <w:rPr>
          <w:rFonts w:ascii="Times New Roman"/>
          <w:b w:val="false"/>
          <w:i w:val="false"/>
          <w:color w:val="000000"/>
          <w:sz w:val="28"/>
        </w:rPr>
        <w:t xml:space="preserve">       Период почвенного обследования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индекс доминирующих почвенных разновидностей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распространения доминанта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масштаб съемки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почвенного обследования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почвенных контуров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почвенных контуров,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почвенной разновидности по области,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почвенной разновидности по сельскохозяйственному угодью, процент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 мониторинга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3" w:id="235"/>
    <w:p>
      <w:pPr>
        <w:spacing w:after="0"/>
        <w:ind w:left="0"/>
        <w:jc w:val="left"/>
      </w:pPr>
      <w:r>
        <w:rPr>
          <w:rFonts w:ascii="Times New Roman"/>
          <w:b/>
          <w:i w:val="false"/>
          <w:color w:val="000000"/>
        </w:rPr>
        <w:t xml:space="preserve"> Акт отбора ключевого участка, стационарных и полустационарных пунктов наблюдений</w:t>
      </w:r>
    </w:p>
    <w:bookmarkEnd w:id="235"/>
    <w:p>
      <w:pPr>
        <w:spacing w:after="0"/>
        <w:ind w:left="0"/>
        <w:jc w:val="both"/>
      </w:pPr>
      <w:bookmarkStart w:name="z384" w:id="236"/>
      <w:r>
        <w:rPr>
          <w:rFonts w:ascii="Times New Roman"/>
          <w:b w:val="false"/>
          <w:i w:val="false"/>
          <w:color w:val="000000"/>
          <w:sz w:val="28"/>
        </w:rPr>
        <w:t>
      На основании обобщения и анализа данных (сведений) почвенных исследований прошлых лет отобран ключевой участок, стационарных и полустационарных пунктов наблюдений _____________________________________________________ :</w:t>
      </w:r>
    </w:p>
    <w:bookmarkEnd w:id="236"/>
    <w:p>
      <w:pPr>
        <w:spacing w:after="0"/>
        <w:ind w:left="0"/>
        <w:jc w:val="both"/>
      </w:pPr>
      <w:r>
        <w:rPr>
          <w:rFonts w:ascii="Times New Roman"/>
          <w:b w:val="false"/>
          <w:i w:val="false"/>
          <w:color w:val="000000"/>
          <w:sz w:val="28"/>
        </w:rPr>
        <w:t xml:space="preserve">                   (наименование сельского округа, района,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бригада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севооборота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севооборота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Доминирующая почвенная разновидность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5" w:id="237"/>
      <w:r>
        <w:rPr>
          <w:rFonts w:ascii="Times New Roman"/>
          <w:b w:val="false"/>
          <w:i w:val="false"/>
          <w:color w:val="000000"/>
          <w:sz w:val="28"/>
        </w:rPr>
        <w:t>
      __________       _________ _      ______________________________________</w:t>
      </w:r>
    </w:p>
    <w:bookmarkEnd w:id="237"/>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собственника или землепользователя)</w:t>
      </w:r>
    </w:p>
    <w:p>
      <w:pPr>
        <w:spacing w:after="0"/>
        <w:ind w:left="0"/>
        <w:jc w:val="both"/>
      </w:pPr>
      <w:r>
        <w:rPr>
          <w:rFonts w:ascii="Times New Roman"/>
          <w:b w:val="false"/>
          <w:i w:val="false"/>
          <w:color w:val="000000"/>
          <w:sz w:val="28"/>
        </w:rPr>
        <w:t xml:space="preserve">       __________       _________       ________________________________________ </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представителя уполномоченным органом по</w:t>
      </w:r>
    </w:p>
    <w:p>
      <w:pPr>
        <w:spacing w:after="0"/>
        <w:ind w:left="0"/>
        <w:jc w:val="both"/>
      </w:pPr>
      <w:r>
        <w:rPr>
          <w:rFonts w:ascii="Times New Roman"/>
          <w:b w:val="false"/>
          <w:i w:val="false"/>
          <w:color w:val="000000"/>
          <w:sz w:val="28"/>
        </w:rPr>
        <w:t xml:space="preserve">                               земельным отношениям района)</w:t>
      </w:r>
    </w:p>
    <w:p>
      <w:pPr>
        <w:spacing w:after="0"/>
        <w:ind w:left="0"/>
        <w:jc w:val="both"/>
      </w:pPr>
      <w:r>
        <w:rPr>
          <w:rFonts w:ascii="Times New Roman"/>
          <w:b w:val="false"/>
          <w:i w:val="false"/>
          <w:color w:val="000000"/>
          <w:sz w:val="28"/>
        </w:rPr>
        <w:t xml:space="preserve">       __________ _________       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его наличии)</w:t>
      </w:r>
    </w:p>
    <w:p>
      <w:pPr>
        <w:spacing w:after="0"/>
        <w:ind w:left="0"/>
        <w:jc w:val="both"/>
      </w:pPr>
      <w:r>
        <w:rPr>
          <w:rFonts w:ascii="Times New Roman"/>
          <w:b w:val="false"/>
          <w:i w:val="false"/>
          <w:color w:val="000000"/>
          <w:sz w:val="28"/>
        </w:rPr>
        <w:t xml:space="preserve">                               представителя исполнителя работ)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 w:id="238"/>
    <w:p>
      <w:pPr>
        <w:spacing w:after="0"/>
        <w:ind w:left="0"/>
        <w:jc w:val="left"/>
      </w:pPr>
      <w:r>
        <w:rPr>
          <w:rFonts w:ascii="Times New Roman"/>
          <w:b/>
          <w:i w:val="false"/>
          <w:color w:val="000000"/>
        </w:rPr>
        <w:t xml:space="preserve"> Паспорт стационарного (полустационарного) пункта наблюдений</w:t>
      </w:r>
    </w:p>
    <w:bookmarkEnd w:id="238"/>
    <w:p>
      <w:pPr>
        <w:spacing w:after="0"/>
        <w:ind w:left="0"/>
        <w:jc w:val="both"/>
      </w:pPr>
      <w:bookmarkStart w:name="z389" w:id="239"/>
      <w:r>
        <w:rPr>
          <w:rFonts w:ascii="Times New Roman"/>
          <w:b w:val="false"/>
          <w:i w:val="false"/>
          <w:color w:val="000000"/>
          <w:sz w:val="28"/>
        </w:rPr>
        <w:t>
      Дата заложения "___" ________________ 20_ года</w:t>
      </w:r>
    </w:p>
    <w:bookmarkEnd w:id="239"/>
    <w:p>
      <w:pPr>
        <w:spacing w:after="0"/>
        <w:ind w:left="0"/>
        <w:jc w:val="both"/>
      </w:pPr>
      <w:r>
        <w:rPr>
          <w:rFonts w:ascii="Times New Roman"/>
          <w:b w:val="false"/>
          <w:i w:val="false"/>
          <w:color w:val="000000"/>
          <w:sz w:val="28"/>
        </w:rPr>
        <w:t xml:space="preserve">1. Код пункта наблюдения, координаты: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 Название сельского округа, землепользователя или собственника земельного </w:t>
      </w:r>
    </w:p>
    <w:p>
      <w:pPr>
        <w:spacing w:after="0"/>
        <w:ind w:left="0"/>
        <w:jc w:val="both"/>
      </w:pPr>
      <w:r>
        <w:rPr>
          <w:rFonts w:ascii="Times New Roman"/>
          <w:b w:val="false"/>
          <w:i w:val="false"/>
          <w:color w:val="000000"/>
          <w:sz w:val="28"/>
        </w:rPr>
        <w:t xml:space="preserve">       участка:_______________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Природно-климатическая зона, подзона, провинция, округ: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4. Характеристика рельефа местности (макро-, мезо-, микрорельеф): 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Глубина залегания грунтовых вод и их минерализация: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Вид сельскохозяйственного угодья и его использование: 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Применяемые удобрения и гербициды, химические вещества, нормы и сроки их </w:t>
      </w:r>
    </w:p>
    <w:p>
      <w:pPr>
        <w:spacing w:after="0"/>
        <w:ind w:left="0"/>
        <w:jc w:val="both"/>
      </w:pPr>
      <w:r>
        <w:rPr>
          <w:rFonts w:ascii="Times New Roman"/>
          <w:b w:val="false"/>
          <w:i w:val="false"/>
          <w:color w:val="000000"/>
          <w:sz w:val="28"/>
        </w:rPr>
        <w:t xml:space="preserve">       внесения: 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Источники загрязнения, не связанные с сельскохозяйственным</w:t>
      </w:r>
    </w:p>
    <w:p>
      <w:pPr>
        <w:spacing w:after="0"/>
        <w:ind w:left="0"/>
        <w:jc w:val="both"/>
      </w:pPr>
      <w:r>
        <w:rPr>
          <w:rFonts w:ascii="Times New Roman"/>
          <w:b w:val="false"/>
          <w:i w:val="false"/>
          <w:color w:val="000000"/>
          <w:sz w:val="28"/>
        </w:rPr>
        <w:t xml:space="preserve">       производством: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Вид и степень развития негативных процессов: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10. Полное название почвы: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11. Характеристика почвообразующей и подстилающей породы: 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12. Рекомендуемые мероприятия по рациональному использованию и охране</w:t>
      </w:r>
    </w:p>
    <w:p>
      <w:pPr>
        <w:spacing w:after="0"/>
        <w:ind w:left="0"/>
        <w:jc w:val="both"/>
      </w:pPr>
      <w:r>
        <w:rPr>
          <w:rFonts w:ascii="Times New Roman"/>
          <w:b w:val="false"/>
          <w:i w:val="false"/>
          <w:color w:val="000000"/>
          <w:sz w:val="28"/>
        </w:rPr>
        <w:t xml:space="preserve">       земель: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13. Показатели, характеризующие современное состояние почв площадки (примерный перечень):</w:t>
      </w:r>
    </w:p>
    <w:p>
      <w:pPr>
        <w:spacing w:after="0"/>
        <w:ind w:left="0"/>
        <w:jc w:val="both"/>
      </w:pPr>
      <w:r>
        <w:rPr>
          <w:rFonts w:ascii="Times New Roman"/>
          <w:b w:val="false"/>
          <w:i w:val="false"/>
          <w:color w:val="000000"/>
          <w:sz w:val="28"/>
        </w:rPr>
        <w:t xml:space="preserve">       1) глубина вспашки (Ап) – ___ сантиметра (далее – см)</w:t>
      </w:r>
    </w:p>
    <w:p>
      <w:pPr>
        <w:spacing w:after="0"/>
        <w:ind w:left="0"/>
        <w:jc w:val="both"/>
      </w:pPr>
      <w:r>
        <w:rPr>
          <w:rFonts w:ascii="Times New Roman"/>
          <w:b w:val="false"/>
          <w:i w:val="false"/>
          <w:color w:val="000000"/>
          <w:sz w:val="28"/>
        </w:rPr>
        <w:t xml:space="preserve">       2) мощность гумусовых горизонтов А+В1, __ см</w:t>
      </w:r>
    </w:p>
    <w:p>
      <w:pPr>
        <w:spacing w:after="0"/>
        <w:ind w:left="0"/>
        <w:jc w:val="both"/>
      </w:pPr>
      <w:r>
        <w:rPr>
          <w:rFonts w:ascii="Times New Roman"/>
          <w:b w:val="false"/>
          <w:i w:val="false"/>
          <w:color w:val="000000"/>
          <w:sz w:val="28"/>
        </w:rPr>
        <w:t xml:space="preserve">       3) содержание гумуса в Ап/слое 0-30 см – ___ процентов (далее – %)</w:t>
      </w:r>
    </w:p>
    <w:p>
      <w:pPr>
        <w:spacing w:after="0"/>
        <w:ind w:left="0"/>
        <w:jc w:val="both"/>
      </w:pPr>
      <w:r>
        <w:rPr>
          <w:rFonts w:ascii="Times New Roman"/>
          <w:b w:val="false"/>
          <w:i w:val="false"/>
          <w:color w:val="000000"/>
          <w:sz w:val="28"/>
        </w:rPr>
        <w:t xml:space="preserve">       4) содержание валового азота в Ап/слое 0-30 см – ___ %</w:t>
      </w:r>
    </w:p>
    <w:p>
      <w:pPr>
        <w:spacing w:after="0"/>
        <w:ind w:left="0"/>
        <w:jc w:val="both"/>
      </w:pPr>
      <w:r>
        <w:rPr>
          <w:rFonts w:ascii="Times New Roman"/>
          <w:b w:val="false"/>
          <w:i w:val="false"/>
          <w:color w:val="000000"/>
          <w:sz w:val="28"/>
        </w:rPr>
        <w:t xml:space="preserve">       5) содержание валового фосфора в Ап/слое 0-30 см –____ %</w:t>
      </w:r>
    </w:p>
    <w:p>
      <w:pPr>
        <w:spacing w:after="0"/>
        <w:ind w:left="0"/>
        <w:jc w:val="both"/>
      </w:pPr>
      <w:r>
        <w:rPr>
          <w:rFonts w:ascii="Times New Roman"/>
          <w:b w:val="false"/>
          <w:i w:val="false"/>
          <w:color w:val="000000"/>
          <w:sz w:val="28"/>
        </w:rPr>
        <w:t xml:space="preserve">       6) содержание валового калия в Ап/слое 0-30 см – ___ %</w:t>
      </w:r>
    </w:p>
    <w:p>
      <w:pPr>
        <w:spacing w:after="0"/>
        <w:ind w:left="0"/>
        <w:jc w:val="both"/>
      </w:pPr>
      <w:r>
        <w:rPr>
          <w:rFonts w:ascii="Times New Roman"/>
          <w:b w:val="false"/>
          <w:i w:val="false"/>
          <w:color w:val="000000"/>
          <w:sz w:val="28"/>
        </w:rPr>
        <w:t xml:space="preserve">       7) содержание гидролизуемого азота в Ап/слое 0-30 см – ___миллиграмм (далее – </w:t>
      </w:r>
    </w:p>
    <w:p>
      <w:pPr>
        <w:spacing w:after="0"/>
        <w:ind w:left="0"/>
        <w:jc w:val="both"/>
      </w:pPr>
      <w:r>
        <w:rPr>
          <w:rFonts w:ascii="Times New Roman"/>
          <w:b w:val="false"/>
          <w:i w:val="false"/>
          <w:color w:val="000000"/>
          <w:sz w:val="28"/>
        </w:rPr>
        <w:t xml:space="preserve">       мг)/100 грамм (далее –г)</w:t>
      </w:r>
    </w:p>
    <w:p>
      <w:pPr>
        <w:spacing w:after="0"/>
        <w:ind w:left="0"/>
        <w:jc w:val="both"/>
      </w:pPr>
      <w:r>
        <w:rPr>
          <w:rFonts w:ascii="Times New Roman"/>
          <w:b w:val="false"/>
          <w:i w:val="false"/>
          <w:color w:val="000000"/>
          <w:sz w:val="28"/>
        </w:rPr>
        <w:t xml:space="preserve">       8) содержание подвижного фосфора в Ап/слое 0-30 см –___ мг/100 г</w:t>
      </w:r>
    </w:p>
    <w:p>
      <w:pPr>
        <w:spacing w:after="0"/>
        <w:ind w:left="0"/>
        <w:jc w:val="both"/>
      </w:pPr>
      <w:r>
        <w:rPr>
          <w:rFonts w:ascii="Times New Roman"/>
          <w:b w:val="false"/>
          <w:i w:val="false"/>
          <w:color w:val="000000"/>
          <w:sz w:val="28"/>
        </w:rPr>
        <w:t xml:space="preserve">       9) содержание подвижного калия в Ап/слое 0-30 см –___ мг/100 г</w:t>
      </w:r>
    </w:p>
    <w:p>
      <w:pPr>
        <w:spacing w:after="0"/>
        <w:ind w:left="0"/>
        <w:jc w:val="both"/>
      </w:pPr>
      <w:r>
        <w:rPr>
          <w:rFonts w:ascii="Times New Roman"/>
          <w:b w:val="false"/>
          <w:i w:val="false"/>
          <w:color w:val="000000"/>
          <w:sz w:val="28"/>
        </w:rPr>
        <w:t xml:space="preserve">       10) плотность сложения Ап –___ г/см3</w:t>
      </w:r>
    </w:p>
    <w:p>
      <w:pPr>
        <w:spacing w:after="0"/>
        <w:ind w:left="0"/>
        <w:jc w:val="both"/>
      </w:pPr>
      <w:r>
        <w:rPr>
          <w:rFonts w:ascii="Times New Roman"/>
          <w:b w:val="false"/>
          <w:i w:val="false"/>
          <w:color w:val="000000"/>
          <w:sz w:val="28"/>
        </w:rPr>
        <w:t xml:space="preserve">       11) плотность сложения подпахотного горизонта – ___г/см3</w:t>
      </w:r>
    </w:p>
    <w:p>
      <w:pPr>
        <w:spacing w:after="0"/>
        <w:ind w:left="0"/>
        <w:jc w:val="both"/>
      </w:pPr>
      <w:r>
        <w:rPr>
          <w:rFonts w:ascii="Times New Roman"/>
          <w:b w:val="false"/>
          <w:i w:val="false"/>
          <w:color w:val="000000"/>
          <w:sz w:val="28"/>
        </w:rPr>
        <w:t xml:space="preserve">       12) емкость поглощения (сумма поглощенных оснований) в В1 – __мг-экв/100 г.</w:t>
      </w:r>
    </w:p>
    <w:p>
      <w:pPr>
        <w:spacing w:after="0"/>
        <w:ind w:left="0"/>
        <w:jc w:val="both"/>
      </w:pPr>
      <w:r>
        <w:rPr>
          <w:rFonts w:ascii="Times New Roman"/>
          <w:b w:val="false"/>
          <w:i w:val="false"/>
          <w:color w:val="000000"/>
          <w:sz w:val="28"/>
        </w:rPr>
        <w:t xml:space="preserve">       13) процент поглощенного натрия от емкости в В1 –__ % от суммы поглощенных </w:t>
      </w:r>
    </w:p>
    <w:p>
      <w:pPr>
        <w:spacing w:after="0"/>
        <w:ind w:left="0"/>
        <w:jc w:val="both"/>
      </w:pPr>
      <w:r>
        <w:rPr>
          <w:rFonts w:ascii="Times New Roman"/>
          <w:b w:val="false"/>
          <w:i w:val="false"/>
          <w:color w:val="000000"/>
          <w:sz w:val="28"/>
        </w:rPr>
        <w:t xml:space="preserve">       оснований (емкости поглощения)</w:t>
      </w:r>
    </w:p>
    <w:p>
      <w:pPr>
        <w:spacing w:after="0"/>
        <w:ind w:left="0"/>
        <w:jc w:val="both"/>
      </w:pPr>
      <w:r>
        <w:rPr>
          <w:rFonts w:ascii="Times New Roman"/>
          <w:b w:val="false"/>
          <w:i w:val="false"/>
          <w:color w:val="000000"/>
          <w:sz w:val="28"/>
        </w:rPr>
        <w:t xml:space="preserve">       14) механический состав Ап – </w:t>
      </w:r>
    </w:p>
    <w:p>
      <w:pPr>
        <w:spacing w:after="0"/>
        <w:ind w:left="0"/>
        <w:jc w:val="both"/>
      </w:pPr>
      <w:r>
        <w:rPr>
          <w:rFonts w:ascii="Times New Roman"/>
          <w:b w:val="false"/>
          <w:i w:val="false"/>
          <w:color w:val="000000"/>
          <w:sz w:val="28"/>
        </w:rPr>
        <w:t xml:space="preserve">       15) содержание химических загрязняющих веществ в Ап (по каждому загрязняющему </w:t>
      </w:r>
    </w:p>
    <w:p>
      <w:pPr>
        <w:spacing w:after="0"/>
        <w:ind w:left="0"/>
        <w:jc w:val="both"/>
      </w:pPr>
      <w:r>
        <w:rPr>
          <w:rFonts w:ascii="Times New Roman"/>
          <w:b w:val="false"/>
          <w:i w:val="false"/>
          <w:color w:val="000000"/>
          <w:sz w:val="28"/>
        </w:rPr>
        <w:t xml:space="preserve">       веществу) – __мг/кг</w:t>
      </w:r>
    </w:p>
    <w:p>
      <w:pPr>
        <w:spacing w:after="0"/>
        <w:ind w:left="0"/>
        <w:jc w:val="both"/>
      </w:pPr>
      <w:r>
        <w:rPr>
          <w:rFonts w:ascii="Times New Roman"/>
          <w:b w:val="false"/>
          <w:i w:val="false"/>
          <w:color w:val="000000"/>
          <w:sz w:val="28"/>
        </w:rPr>
        <w:t xml:space="preserve">       16) глубина залегания верхнего солевого горизонта – __см</w:t>
      </w:r>
    </w:p>
    <w:p>
      <w:pPr>
        <w:spacing w:after="0"/>
        <w:ind w:left="0"/>
        <w:jc w:val="both"/>
      </w:pPr>
      <w:r>
        <w:rPr>
          <w:rFonts w:ascii="Times New Roman"/>
          <w:b w:val="false"/>
          <w:i w:val="false"/>
          <w:color w:val="000000"/>
          <w:sz w:val="28"/>
        </w:rPr>
        <w:t xml:space="preserve">       17) тип засоления верхнего солевого горизонта – __ </w:t>
      </w:r>
    </w:p>
    <w:p>
      <w:pPr>
        <w:spacing w:after="0"/>
        <w:ind w:left="0"/>
        <w:jc w:val="both"/>
      </w:pPr>
      <w:r>
        <w:rPr>
          <w:rFonts w:ascii="Times New Roman"/>
          <w:b w:val="false"/>
          <w:i w:val="false"/>
          <w:color w:val="000000"/>
          <w:sz w:val="28"/>
        </w:rPr>
        <w:t xml:space="preserve">       18) содержание солей в верхнем солевом горизонте – ___% Паспорт составил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земель</w:t>
            </w:r>
          </w:p>
        </w:tc>
      </w:tr>
    </w:tbl>
    <w:bookmarkStart w:name="z391" w:id="240"/>
    <w:p>
      <w:pPr>
        <w:spacing w:after="0"/>
        <w:ind w:left="0"/>
        <w:jc w:val="left"/>
      </w:pPr>
      <w:r>
        <w:rPr>
          <w:rFonts w:ascii="Times New Roman"/>
          <w:b/>
          <w:i w:val="false"/>
          <w:color w:val="000000"/>
        </w:rPr>
        <w:t xml:space="preserve"> Ведомость морфологических, физико-химических и агрохимических свойств почв стационарных и полустационарных пунктов наблюдений</w:t>
      </w:r>
    </w:p>
    <w:bookmarkEnd w:id="240"/>
    <w:p>
      <w:pPr>
        <w:spacing w:after="0"/>
        <w:ind w:left="0"/>
        <w:jc w:val="both"/>
      </w:pPr>
      <w:bookmarkStart w:name="z392" w:id="241"/>
      <w:r>
        <w:rPr>
          <w:rFonts w:ascii="Times New Roman"/>
          <w:b w:val="false"/>
          <w:i w:val="false"/>
          <w:color w:val="000000"/>
          <w:sz w:val="28"/>
        </w:rPr>
        <w:t>
      Номер стационарного пункта наблюдения (полустационарного пункта наблюдения) ________</w:t>
      </w:r>
    </w:p>
    <w:bookmarkEnd w:id="241"/>
    <w:p>
      <w:pPr>
        <w:spacing w:after="0"/>
        <w:ind w:left="0"/>
        <w:jc w:val="both"/>
      </w:pPr>
      <w:r>
        <w:rPr>
          <w:rFonts w:ascii="Times New Roman"/>
          <w:b w:val="false"/>
          <w:i w:val="false"/>
          <w:color w:val="000000"/>
          <w:sz w:val="28"/>
        </w:rPr>
        <w:t xml:space="preserve">       Код стационарного пункта наблюдения (полустационарного пункта наблюдения) __________</w:t>
      </w:r>
    </w:p>
    <w:p>
      <w:pPr>
        <w:spacing w:after="0"/>
        <w:ind w:left="0"/>
        <w:jc w:val="both"/>
      </w:pPr>
      <w:r>
        <w:rPr>
          <w:rFonts w:ascii="Times New Roman"/>
          <w:b w:val="false"/>
          <w:i w:val="false"/>
          <w:color w:val="000000"/>
          <w:sz w:val="28"/>
        </w:rPr>
        <w:t xml:space="preserve">       Координаты ____________</w:t>
      </w:r>
    </w:p>
    <w:p>
      <w:pPr>
        <w:spacing w:after="0"/>
        <w:ind w:left="0"/>
        <w:jc w:val="both"/>
      </w:pPr>
      <w:r>
        <w:rPr>
          <w:rFonts w:ascii="Times New Roman"/>
          <w:b w:val="false"/>
          <w:i w:val="false"/>
          <w:color w:val="000000"/>
          <w:sz w:val="28"/>
        </w:rPr>
        <w:t xml:space="preserve">       Почвенная зона (подзона) _________________</w:t>
      </w:r>
    </w:p>
    <w:p>
      <w:pPr>
        <w:spacing w:after="0"/>
        <w:ind w:left="0"/>
        <w:jc w:val="both"/>
      </w:pPr>
      <w:r>
        <w:rPr>
          <w:rFonts w:ascii="Times New Roman"/>
          <w:b w:val="false"/>
          <w:i w:val="false"/>
          <w:color w:val="000000"/>
          <w:sz w:val="28"/>
        </w:rPr>
        <w:t xml:space="preserve">       Провинция _________________________</w:t>
      </w:r>
    </w:p>
    <w:p>
      <w:pPr>
        <w:spacing w:after="0"/>
        <w:ind w:left="0"/>
        <w:jc w:val="both"/>
      </w:pPr>
      <w:r>
        <w:rPr>
          <w:rFonts w:ascii="Times New Roman"/>
          <w:b w:val="false"/>
          <w:i w:val="false"/>
          <w:color w:val="000000"/>
          <w:sz w:val="28"/>
        </w:rPr>
        <w:t xml:space="preserve">       Дата заложения площадки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почвенной разновидности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горизонты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отбора образцов, см</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Морфологические, физико-химические и агрохимические свойства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разреза</w:t>
            </w:r>
          </w:p>
        </w:tc>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42"/>
          <w:p>
            <w:pPr>
              <w:spacing w:after="20"/>
              <w:ind w:left="20"/>
              <w:jc w:val="both"/>
            </w:pPr>
            <w:r>
              <w:rPr>
                <w:rFonts w:ascii="Times New Roman"/>
                <w:b w:val="false"/>
                <w:i w:val="false"/>
                <w:color w:val="000000"/>
                <w:sz w:val="20"/>
              </w:rPr>
              <w:t>
А1 (Апах)</w:t>
            </w:r>
          </w:p>
          <w:bookmarkEnd w:id="242"/>
          <w:p>
            <w:pPr>
              <w:spacing w:after="20"/>
              <w:ind w:left="20"/>
              <w:jc w:val="both"/>
            </w:pPr>
            <w:r>
              <w:rPr>
                <w:rFonts w:ascii="Times New Roman"/>
                <w:b w:val="false"/>
                <w:i w:val="false"/>
                <w:color w:val="000000"/>
                <w:sz w:val="20"/>
              </w:rPr>
              <w:t>
+В1, сантиметр (далее –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залегания, см</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Гумус, (далее -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подвижные, мг/100 г.</w:t>
            </w:r>
          </w:p>
        </w:tc>
      </w:tr>
      <w:tr>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 азот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слои, см</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(Апах)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Морфологические, физико-химические и агрохимические свойства</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СаСО3 ,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поглощения (сумма поглощенных оснований ), мг-экв/100 г.</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Поглащенные катионы, мг-экв/100 г.</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водный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солей,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засоления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Фракции механического состава,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грунтовых вод,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грунтовых вод,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объемный вес при ЕВ, г/см3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тяжелых металлов, химических веществ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&lt;0,001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остаточных количеств пестицидов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по проведению</w:t>
            </w:r>
            <w:r>
              <w:br/>
            </w:r>
            <w:r>
              <w:rPr>
                <w:rFonts w:ascii="Times New Roman"/>
                <w:b w:val="false"/>
                <w:i w:val="false"/>
                <w:color w:val="000000"/>
                <w:sz w:val="20"/>
              </w:rPr>
              <w:t>мониторинга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 w:id="243"/>
    <w:p>
      <w:pPr>
        <w:spacing w:after="0"/>
        <w:ind w:left="0"/>
        <w:jc w:val="left"/>
      </w:pPr>
      <w:r>
        <w:rPr>
          <w:rFonts w:ascii="Times New Roman"/>
          <w:b/>
          <w:i w:val="false"/>
          <w:color w:val="000000"/>
        </w:rPr>
        <w:t xml:space="preserve"> Наблюдаемые показатели мониторинга земель по годам наблюдений со дня заложения пункта наблюдения (площадки)</w:t>
      </w:r>
    </w:p>
    <w:bookmarkEnd w:id="243"/>
    <w:bookmarkStart w:name="z397" w:id="244"/>
    <w:p>
      <w:pPr>
        <w:spacing w:after="0"/>
        <w:ind w:left="0"/>
        <w:jc w:val="both"/>
      </w:pPr>
      <w:r>
        <w:rPr>
          <w:rFonts w:ascii="Times New Roman"/>
          <w:b w:val="false"/>
          <w:i w:val="false"/>
          <w:color w:val="000000"/>
          <w:sz w:val="28"/>
        </w:rPr>
        <w:t>
      Код пункта наблюдения (площадки) _____________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гумусовых горизонтов Ап+В1, сантиметр (далее –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гумуса в Ап/слое 0-30 см, процент (далее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азот в Ап/слое 0-30 см,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фосфор в Ап/ слое 0-30 см,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калий в Ап/слое 0-30 см,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Гидролизуемый азот в Ап/слое 0-30 см, миллиграмм (далее – мг) на 100 грамм (далее –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фосфор в Ап/слое 0-30 см, мг на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Подвижный калий в Ап/слое 0-30 см, мг на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поглащения в В1, мг-экв. на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Поглощенный натрий в В1, мг-экв. на 100 г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Углекислота карбонатов (СаСО3) в Ап/слое 0-30 см,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распространения водорастворимых солей,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Химизм засоления верхнего засоленного слоя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водно-растворимых солей в верхнем засоленном слое,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сложения в Ап/слое 0-30 см, г/см3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сложения в подпахотном горизонте, г/см3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по проведению</w:t>
            </w:r>
            <w:r>
              <w:br/>
            </w:r>
            <w:r>
              <w:rPr>
                <w:rFonts w:ascii="Times New Roman"/>
                <w:b w:val="false"/>
                <w:i w:val="false"/>
                <w:color w:val="000000"/>
                <w:sz w:val="20"/>
              </w:rPr>
              <w:t xml:space="preserve"> мониторинга земель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0" w:id="245"/>
    <w:p>
      <w:pPr>
        <w:spacing w:after="0"/>
        <w:ind w:left="0"/>
        <w:jc w:val="left"/>
      </w:pPr>
      <w:r>
        <w:rPr>
          <w:rFonts w:ascii="Times New Roman"/>
          <w:b/>
          <w:i w:val="false"/>
          <w:color w:val="000000"/>
        </w:rPr>
        <w:t xml:space="preserve"> Ведомость по формированию территориально-зональной сети мониторинга земель республики и проведение на них повторных наблюдений</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на начало отчетного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Заложено новых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Стало на конец отчетного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повторных наблюдений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пункты наблюдения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полустационарные пункты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пункты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полустационарные пункты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пункты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полустационарные пункты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пункты наблюдения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полустационарные пункты наблюдения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