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02fc" w14:textId="c460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16 августа 2022 года № 181. Зарегистрирован в Министерстве юстиции Республики Казахстан 25 августа 2022 года № 29280</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февраля 2017 года № 40 "О некоторых вопросах занятия административной государственной должности" (зарегистрирован в Реестре государственной регистрации нормативных правовых актов за № 14939)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занятие административной государственной должности корпуса "Б",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"19. В состав конкурсной комиссии или единой конкурсной комиссии включаются работники службы управления персоналом (кадровой службы) либо лица, на которых возложено исполнение обязанностей службы управления персоналом (кадровой службы), работники структурных подразделений, имеющих вакантные должности, на занятие которых проводится конкурс, а также иные лица, определяемые лицом, указанным в пункте 14, части первой пункта 16, части первой и второй пункта 17 настоящих Правил (далее – уполномоченное лицо).</w:t>
      </w:r>
    </w:p>
    <w:bookmarkEnd w:id="1"/>
    <w:bookmarkStart w:name="z9" w:id="2"/>
    <w:p>
      <w:pPr>
        <w:spacing w:after="0"/>
        <w:ind w:left="0"/>
        <w:jc w:val="both"/>
      </w:pPr>
      <w:r>
        <w:rPr>
          <w:rFonts w:ascii="Times New Roman"/>
          <w:b w:val="false"/>
          <w:i w:val="false"/>
          <w:color w:val="000000"/>
          <w:sz w:val="28"/>
        </w:rPr>
        <w:t>
      Конкурс на занятие должностей заместителя акима района, района в городе и города областного значения, а также заместителя руководителя областного исполнительного органа, исполнительного органа города республиканского значения, столицы, финансируемого из местного бюджета, проводится конкурсной комиссией или единой конкурсной комиссией аппарата акима соответствующей области, города республиканского значения, столицы, с включением в ее состав представителя аппарата акима данного района, района в городе и города областного значения или представителя данного исполнительного органа.</w:t>
      </w:r>
    </w:p>
    <w:bookmarkEnd w:id="2"/>
    <w:bookmarkStart w:name="z10" w:id="3"/>
    <w:p>
      <w:pPr>
        <w:spacing w:after="0"/>
        <w:ind w:left="0"/>
        <w:jc w:val="both"/>
      </w:pPr>
      <w:r>
        <w:rPr>
          <w:rFonts w:ascii="Times New Roman"/>
          <w:b w:val="false"/>
          <w:i w:val="false"/>
          <w:color w:val="000000"/>
          <w:sz w:val="28"/>
        </w:rPr>
        <w:t>
      При проведении конкурса на занятие должности руководителя службы управления персоналом (кадровой службы) или единой службы управления персоналом (кадровой службы) в состав конкурсной комиссии или единой конкурсной комиссии включается представитель уполномоченного органа по делам государственной службы (далее – уполномоченный орган) или его территориального подразделения.";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2" w:id="4"/>
    <w:p>
      <w:pPr>
        <w:spacing w:after="0"/>
        <w:ind w:left="0"/>
        <w:jc w:val="both"/>
      </w:pPr>
      <w:r>
        <w:rPr>
          <w:rFonts w:ascii="Times New Roman"/>
          <w:b w:val="false"/>
          <w:i w:val="false"/>
          <w:color w:val="000000"/>
          <w:sz w:val="28"/>
        </w:rPr>
        <w:t>
      "28. 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14" w:id="5"/>
    <w:p>
      <w:pPr>
        <w:spacing w:after="0"/>
        <w:ind w:left="0"/>
        <w:jc w:val="both"/>
      </w:pPr>
      <w:r>
        <w:rPr>
          <w:rFonts w:ascii="Times New Roman"/>
          <w:b w:val="false"/>
          <w:i w:val="false"/>
          <w:color w:val="000000"/>
          <w:sz w:val="28"/>
        </w:rPr>
        <w:t>
      "57. Результаты оценки кандидатов заносятся каждым членом конкурсной комиссии в лист оценки кандидатов по форме, согласно приложению 4 к настоящим Правилам (далее – Лист оценки), по каждой претендуемой вакантной должности.</w:t>
      </w:r>
    </w:p>
    <w:bookmarkEnd w:id="5"/>
    <w:bookmarkStart w:name="z15" w:id="6"/>
    <w:p>
      <w:pPr>
        <w:spacing w:after="0"/>
        <w:ind w:left="0"/>
        <w:jc w:val="both"/>
      </w:pPr>
      <w:r>
        <w:rPr>
          <w:rFonts w:ascii="Times New Roman"/>
          <w:b w:val="false"/>
          <w:i w:val="false"/>
          <w:color w:val="000000"/>
          <w:sz w:val="28"/>
        </w:rPr>
        <w:t>
      Лист оценки кандидата может быть заполнен в электронном виде.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7" w:id="7"/>
    <w:p>
      <w:pPr>
        <w:spacing w:after="0"/>
        <w:ind w:left="0"/>
        <w:jc w:val="both"/>
      </w:pPr>
      <w:r>
        <w:rPr>
          <w:rFonts w:ascii="Times New Roman"/>
          <w:b w:val="false"/>
          <w:i w:val="false"/>
          <w:color w:val="000000"/>
          <w:sz w:val="28"/>
        </w:rPr>
        <w:t>
      "94. Результаты оценки кандидатов заносятся в Лист оценки кандидатов по каждой претендуемой вакантной должности.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проведения конкурса на занятие административной государственной должности корпуса "Б" изложить в следующей редакции: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w:t>
            </w:r>
            <w:r>
              <w:br/>
            </w:r>
            <w:r>
              <w:rPr>
                <w:rFonts w:ascii="Times New Roman"/>
                <w:b w:val="false"/>
                <w:i w:val="false"/>
                <w:color w:val="000000"/>
                <w:sz w:val="20"/>
              </w:rPr>
              <w:t>должности корпуса "Б"</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Лист оценки кандидатов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Фамилия, имя, отчество (при его наличии) кандидата конкурса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должности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 ответов на вопросы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проф. опыт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уровень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коммуник. навыки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 навыки****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Иные методы отбора (в случае применения)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Профильный* /№ вопроса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"__"______20__ г. (00.00ч.)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Наименование должности,</w:t>
            </w:r>
          </w:p>
          <w:bookmarkEnd w:id="8"/>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Наименование должности,</w:t>
            </w:r>
          </w:p>
          <w:bookmarkEnd w:id="9"/>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наименование должности,</w:t>
            </w:r>
          </w:p>
          <w:bookmarkEnd w:id="10"/>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кандидата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наименование должности,</w:t>
            </w:r>
          </w:p>
          <w:bookmarkEnd w:id="11"/>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наименование должности,</w:t>
            </w:r>
          </w:p>
          <w:bookmarkEnd w:id="12"/>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xml:space="preserve">
наименование должности, </w:t>
            </w:r>
          </w:p>
          <w:bookmarkEnd w:id="13"/>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наименование должности,</w:t>
            </w:r>
          </w:p>
          <w:bookmarkEnd w:id="14"/>
          <w:p>
            <w:pPr>
              <w:spacing w:after="20"/>
              <w:ind w:left="20"/>
              <w:jc w:val="both"/>
            </w:pPr>
            <w:r>
              <w:rPr>
                <w:rFonts w:ascii="Times New Roman"/>
                <w:b w:val="false"/>
                <w:i w:val="false"/>
                <w:color w:val="000000"/>
                <w:sz w:val="20"/>
              </w:rPr>
              <w:t>
категория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(подпись члена конкурсной комиссии) 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конкурсной комиссии)</w:t>
      </w:r>
    </w:p>
    <w:p>
      <w:pPr>
        <w:spacing w:after="0"/>
        <w:ind w:left="0"/>
        <w:jc w:val="both"/>
      </w:pPr>
      <w:r>
        <w:rPr>
          <w:rFonts w:ascii="Times New Roman"/>
          <w:b w:val="false"/>
          <w:i w:val="false"/>
          <w:color w:val="000000"/>
          <w:sz w:val="28"/>
        </w:rPr>
        <w:t>
      "__" 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Примечание:</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количество вопросов и при необходимости дополнительные критерии определяются государственным органом 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 выставляется от 0 до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должностей категорий А-1, В-1, С-1, С-О-1, C-R-1, D-1, D-О-1, Е-1, E-R-1</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применяется для руководящих должностей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опыт:</w:t>
            </w:r>
          </w:p>
          <w:p>
            <w:pPr>
              <w:spacing w:after="20"/>
              <w:ind w:left="20"/>
              <w:jc w:val="both"/>
            </w:pPr>
            <w:r>
              <w:rPr>
                <w:rFonts w:ascii="Times New Roman"/>
                <w:b w:val="false"/>
                <w:i w:val="false"/>
                <w:color w:val="000000"/>
                <w:sz w:val="20"/>
              </w:rPr>
              <w:t>
</w:t>
            </w:r>
            <w:r>
              <w:rPr>
                <w:rFonts w:ascii="Times New Roman"/>
                <w:b w:val="false"/>
                <w:i w:val="false"/>
                <w:color w:val="000000"/>
                <w:sz w:val="20"/>
              </w:rPr>
              <w:t>      0 баллов – профессиональный опыт в областях, соответствующих функциональным направлениям должности,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1 балл – соответствующий профессиональный опыт до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2 балла – соответствующий профессиональный опыт от года до двух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3 балла – соответствующий профессиональный опыт от двух до трех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4 балла – соответствующий профессиональный опыт от трех до пяти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5 баллов – соответствующий профессиональный опыт пять и более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1 балл – соответствует образованию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2 балла – магистр в соответствующей сфере</w:t>
            </w:r>
          </w:p>
          <w:p>
            <w:pPr>
              <w:spacing w:after="20"/>
              <w:ind w:left="20"/>
              <w:jc w:val="both"/>
            </w:pPr>
            <w:r>
              <w:rPr>
                <w:rFonts w:ascii="Times New Roman"/>
                <w:b w:val="false"/>
                <w:i w:val="false"/>
                <w:color w:val="000000"/>
                <w:sz w:val="20"/>
              </w:rPr>
              <w:t>
</w:t>
            </w:r>
            <w:r>
              <w:rPr>
                <w:rFonts w:ascii="Times New Roman"/>
                <w:b w:val="false"/>
                <w:i w:val="false"/>
                <w:color w:val="000000"/>
                <w:sz w:val="20"/>
              </w:rPr>
              <w:t>      3 балла – доктор PhD в соответствующей сфере</w:t>
            </w:r>
          </w:p>
          <w:p>
            <w:pPr>
              <w:spacing w:after="20"/>
              <w:ind w:left="20"/>
              <w:jc w:val="both"/>
            </w:pPr>
            <w:r>
              <w:rPr>
                <w:rFonts w:ascii="Times New Roman"/>
                <w:b w:val="false"/>
                <w:i w:val="false"/>
                <w:color w:val="000000"/>
                <w:sz w:val="20"/>
              </w:rPr>
              <w:t>
</w:t>
            </w:r>
            <w:r>
              <w:rPr>
                <w:rFonts w:ascii="Times New Roman"/>
                <w:b w:val="false"/>
                <w:i w:val="false"/>
                <w:color w:val="000000"/>
                <w:sz w:val="20"/>
              </w:rPr>
              <w:t>      4 балла – есть научная степень кандидата наук в соответствующей сфере</w:t>
            </w:r>
          </w:p>
          <w:p>
            <w:pPr>
              <w:spacing w:after="20"/>
              <w:ind w:left="20"/>
              <w:jc w:val="both"/>
            </w:pPr>
            <w:r>
              <w:rPr>
                <w:rFonts w:ascii="Times New Roman"/>
                <w:b w:val="false"/>
                <w:i w:val="false"/>
                <w:color w:val="000000"/>
                <w:sz w:val="20"/>
              </w:rPr>
              <w:t>
      5 баллов – есть научная степень доктора наук в соответствующей сфере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Коммуникативные навыки:</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0 баллов – кандидат не показал способности вести беседу</w:t>
            </w:r>
          </w:p>
          <w:p>
            <w:pPr>
              <w:spacing w:after="20"/>
              <w:ind w:left="20"/>
              <w:jc w:val="both"/>
            </w:pPr>
            <w:r>
              <w:rPr>
                <w:rFonts w:ascii="Times New Roman"/>
                <w:b w:val="false"/>
                <w:i w:val="false"/>
                <w:color w:val="000000"/>
                <w:sz w:val="20"/>
              </w:rPr>
              <w:t>
</w:t>
            </w:r>
            <w:r>
              <w:rPr>
                <w:rFonts w:ascii="Times New Roman"/>
                <w:b w:val="false"/>
                <w:i w:val="false"/>
                <w:color w:val="000000"/>
                <w:sz w:val="20"/>
              </w:rPr>
              <w:t>      1 балл – кандидат ведет беседу скованно, не реагирует на наводящие вопросы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      2 – 3 балла – кандидат ведет беседу скованно, но реагирует на наводящие вопросы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      4 балла – кандидат достаточно легко ведет беседу по профессиональной тематике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      5 баллов – кандидат свободно ведет беседу по профессиональной тематике, легко реагирует на вопросы на любую 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      Управленческие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      0 баллов – опыт работы на руководящих должностях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      1 балл – опыт работы на руководящих должностях составляет до трех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2 балла – опыт работы на руководящих должностях составляет от трех до четырех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3 балла – опыт работы на руководящих должностях составляет от четырех до пяти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4 балла – опыт работы на руководящих должностях составляет от пяти до шести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5 баллов – опыт работы на руководящих должностях составляет шесть и более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 оценки эссе (не более двухсот слов):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0 баллов – кандидат не написал либо не раскрыл тему эссе (показывает незнание вопроса)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1 – 2 балла – кандидат частично раскрыл тему эссе (обладает общими знаниями и пониманием соответствующей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w:t>
            </w:r>
          </w:p>
          <w:p>
            <w:pPr>
              <w:spacing w:after="20"/>
              <w:ind w:left="20"/>
              <w:jc w:val="both"/>
            </w:pPr>
            <w:r>
              <w:rPr>
                <w:rFonts w:ascii="Times New Roman"/>
                <w:b w:val="false"/>
                <w:i w:val="false"/>
                <w:color w:val="000000"/>
                <w:sz w:val="20"/>
              </w:rPr>
              <w:t>
      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tc>
      </w:tr>
    </w:tbl>
    <w:bookmarkStart w:name="z68" w:id="17"/>
    <w:p>
      <w:pPr>
        <w:spacing w:after="0"/>
        <w:ind w:left="0"/>
        <w:jc w:val="both"/>
      </w:pPr>
      <w:r>
        <w:rPr>
          <w:rFonts w:ascii="Times New Roman"/>
          <w:b w:val="false"/>
          <w:i w:val="false"/>
          <w:color w:val="000000"/>
          <w:sz w:val="28"/>
        </w:rPr>
        <w:t>
      2.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w:t>
      </w:r>
    </w:p>
    <w:bookmarkEnd w:id="17"/>
    <w:bookmarkStart w:name="z69"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70" w:id="19"/>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19"/>
    <w:bookmarkStart w:name="z71" w:id="20"/>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20"/>
    <w:bookmarkStart w:name="z72" w:id="21"/>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 xml:space="preserve">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