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12ff" w14:textId="6df1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9 сентября 2022 года № 28 и Председателя Агентства по защите и развитию конкуренции Республики Казахстан от 9 сентября 2022 года № 19. Зарегистрирован в Министерстве юстиции Республики Казахстан 12 сентября 2022 года № 29505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 (зарегистрирован в Реестре государственной регистрации нормативных правовых актов № 26983)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биржи, утвержденных указанным совместным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Требований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включают в себя программы, предусмотренные пунктом 3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Программа организации внутреннего контроля в целях ПОД/ФТ/ФРОМУ включает процедуры: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операции клиента подозрительной в соответствии с пунктами 3, 4, 5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подготовки и представления уполномоченным органам и должностным лицам организации управленческой отчетности по результатам проведения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оценки, определения, документального фиксирования и обновления результатов оценки рисков легализации ОД/ФТ/ФРОМУ;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классификации своих клиентов с учетом степени риска легализации ОД/ФТ/ФРОМУ;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товарных бирж;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товарных бирж;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работника либо работника подразделения по ПОД/ФТ/ФРОМУ в соответствии с программой организации внутреннего контроля в целях ПОД/ФТ/ФРОМУ включают: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12, 13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ответственного работника, а также работников по ПОД/ФТ/ФРОМУ, на которых возложены функции, предусмотренные пунктом 12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20 настоящих Требований, а также расположенные в Республике Казахстан филиалы и представительства таких лиц;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деньгами и (или) иным имуществом, превышающие пороговое значение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18-24 настоящих Требований, а также иных категорий рисков, устанавливаемых Субъектами.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18-24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и их представителях, включает, но не ограничивается: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 и сведения, полученные в соответствии с пунктом 29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(сведения о налоговом резидентстве, роде деятельности и источнике финансирования совершаемых операций).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реализации требований Закона о ПОД/ФТ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Операции клиента признаются подозрительными в случае, если по результатам изучения операций, указанных в пункте 22 настоящих Требований, у Субъектов имеются основания полагать, что операции клиента связаны с легализацией ОД/ФТ/ФРОМУ.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Программа подготовки и обучения Субъектов в сфере ПОД/ФТ/ФРОМУ";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