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16db" w14:textId="e561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чрезвычайным ситуациям Республики Казахстан от 17 августа 2021 года № 405 "Об утверждении технического регламента "Общие требования к пожарной безопасности"</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29 сентября 2022 года № 116. Зарегистрирован в Министерстве юстиции Республики Казахстан 30 сентября 2022 года № 29902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17 августа 2021 года № 405 "Об утверждении технического регламента "Общие требования к пожарной безопасности" (зарегистрирован в Реестре государственной регистрации нормативных правовых актов за № 24045)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техническом регламенте</w:t>
      </w:r>
      <w:r>
        <w:rPr>
          <w:rFonts w:ascii="Times New Roman"/>
          <w:b w:val="false"/>
          <w:i w:val="false"/>
          <w:color w:val="000000"/>
          <w:sz w:val="28"/>
        </w:rPr>
        <w:t xml:space="preserve"> "Общие требования к пожарной безопасности",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110 изложить в следующей редакции:</w:t>
      </w:r>
    </w:p>
    <w:bookmarkStart w:name="z8" w:id="3"/>
    <w:p>
      <w:pPr>
        <w:spacing w:after="0"/>
        <w:ind w:left="0"/>
        <w:jc w:val="both"/>
      </w:pPr>
      <w:r>
        <w:rPr>
          <w:rFonts w:ascii="Times New Roman"/>
          <w:b w:val="false"/>
          <w:i w:val="false"/>
          <w:color w:val="000000"/>
          <w:sz w:val="28"/>
        </w:rPr>
        <w:t>
      "1) границ земельных участков дошкольных организаций, организаций среднего образования, интернатных организаций, медицинских организаций, оказывающих медицинскую помощь в стационарных условиях;";</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"114. Противопожарные расстояния от мест хранения и обслуживания транспортных средств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дошкольных организаций, организаций среднего образования, интернатных организаций, медицинских организаций, оказывающих медицинскую помощь в стационарных условиях, размещаемых в жилых, общественно-деловых и зонах рекреационного назначения населенных пунктов, должны приниматься не менее приведенных в таблице </w:t>
      </w:r>
      <w:r>
        <w:rPr>
          <w:rFonts w:ascii="Times New Roman"/>
          <w:b w:val="false"/>
          <w:i w:val="false"/>
          <w:color w:val="000000"/>
          <w:sz w:val="28"/>
        </w:rPr>
        <w:t>приложения 9</w:t>
      </w:r>
      <w:r>
        <w:rPr>
          <w:rFonts w:ascii="Times New Roman"/>
          <w:b w:val="false"/>
          <w:i w:val="false"/>
          <w:color w:val="000000"/>
          <w:sz w:val="28"/>
        </w:rPr>
        <w:t xml:space="preserve"> к настоящему Техническому регламенту.";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115</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"115. Противопожарные расстояния необходимо определять от окон жилых домов и общественных зданий, сооружений и строений и от границ земельных участков дошкольных организаций, организаций среднего образования и медицинских организаций, оказывающих медицинскую помощь в стационарных условиях, до стен гаража или границ открытой стоянки.";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125</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xml:space="preserve">
      "125. Расстояние от надземных резервуаров сжиженных углеводородных газов до мест, где одновременно могут находиться более 800 человек (стадионы, рынки, парки, жилые дома), а также до территории организаций среднего образования, дошкольных и санаторно-курортных организаций должны увеличиваться в 2 раза по сравнению со значениями, приведенными в </w:t>
      </w:r>
      <w:r>
        <w:rPr>
          <w:rFonts w:ascii="Times New Roman"/>
          <w:b w:val="false"/>
          <w:i w:val="false"/>
          <w:color w:val="000000"/>
          <w:sz w:val="28"/>
        </w:rPr>
        <w:t>таблице 3</w:t>
      </w:r>
      <w:r>
        <w:rPr>
          <w:rFonts w:ascii="Times New Roman"/>
          <w:b w:val="false"/>
          <w:i w:val="false"/>
          <w:color w:val="000000"/>
          <w:sz w:val="28"/>
        </w:rPr>
        <w:t xml:space="preserve"> приложения 11 к настоящему Техническому регламенту, независимо от числа мест.";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246</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"246. В спальных и палатных помещениях, а также в помещениях зданий дошкольных организаций подкласса Ф1.1 не допускается применять декоративно-отделочные материалы и покрытия полов с более высокой пожарной опасностью, чем класс КМ2.";</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247</w:t>
      </w:r>
      <w:r>
        <w:rPr>
          <w:rFonts w:ascii="Times New Roman"/>
          <w:b w:val="false"/>
          <w:i w:val="false"/>
          <w:color w:val="000000"/>
          <w:sz w:val="28"/>
        </w:rPr>
        <w:t xml:space="preserve"> изложить в следующей редакции:</w:t>
      </w:r>
    </w:p>
    <w:bookmarkStart w:name="z18" w:id="8"/>
    <w:p>
      <w:pPr>
        <w:spacing w:after="0"/>
        <w:ind w:left="0"/>
        <w:jc w:val="both"/>
      </w:pPr>
      <w:r>
        <w:rPr>
          <w:rFonts w:ascii="Times New Roman"/>
          <w:b w:val="false"/>
          <w:i w:val="false"/>
          <w:color w:val="000000"/>
          <w:sz w:val="28"/>
        </w:rPr>
        <w:t>
      "247. Отделка стен и потолков залов музыкальных и физкультурных занятий в дошкольных организациях должна быть выполнена из материала класса КМ0.";</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274</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и </w:t>
      </w:r>
      <w:r>
        <w:rPr>
          <w:rFonts w:ascii="Times New Roman"/>
          <w:b w:val="false"/>
          <w:i w:val="false"/>
          <w:color w:val="000000"/>
          <w:sz w:val="28"/>
        </w:rPr>
        <w:t>279</w:t>
      </w:r>
      <w:r>
        <w:rPr>
          <w:rFonts w:ascii="Times New Roman"/>
          <w:b w:val="false"/>
          <w:i w:val="false"/>
          <w:color w:val="000000"/>
          <w:sz w:val="28"/>
        </w:rPr>
        <w:t xml:space="preserve"> исключить;</w:t>
      </w:r>
    </w:p>
    <w:bookmarkStart w:name="z20"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59</w:t>
      </w:r>
      <w:r>
        <w:rPr>
          <w:rFonts w:ascii="Times New Roman"/>
          <w:b w:val="false"/>
          <w:i w:val="false"/>
          <w:color w:val="000000"/>
          <w:sz w:val="28"/>
        </w:rPr>
        <w:t xml:space="preserve"> приложения 1 к техническому регламенту "Общие требования к пожарной безопасности":</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22" w:id="10"/>
    <w:p>
      <w:pPr>
        <w:spacing w:after="0"/>
        <w:ind w:left="0"/>
        <w:jc w:val="both"/>
      </w:pPr>
      <w:r>
        <w:rPr>
          <w:rFonts w:ascii="Times New Roman"/>
          <w:b w:val="false"/>
          <w:i w:val="false"/>
          <w:color w:val="000000"/>
          <w:sz w:val="28"/>
        </w:rPr>
        <w:t>
      "1) Ф1 – здания для постоянного проживания и временного пребывания людей:</w:t>
      </w:r>
    </w:p>
    <w:bookmarkEnd w:id="10"/>
    <w:bookmarkStart w:name="z23" w:id="11"/>
    <w:p>
      <w:pPr>
        <w:spacing w:after="0"/>
        <w:ind w:left="0"/>
        <w:jc w:val="both"/>
      </w:pPr>
      <w:r>
        <w:rPr>
          <w:rFonts w:ascii="Times New Roman"/>
          <w:b w:val="false"/>
          <w:i w:val="false"/>
          <w:color w:val="000000"/>
          <w:sz w:val="28"/>
        </w:rPr>
        <w:t>
      Ф1.1 – дошкольные организации, специализированные дома престарелых и лиц с инвалидностью (неквартирные), больницы, спальные корпуса интернатных организаций;</w:t>
      </w:r>
    </w:p>
    <w:bookmarkEnd w:id="11"/>
    <w:bookmarkStart w:name="z24" w:id="12"/>
    <w:p>
      <w:pPr>
        <w:spacing w:after="0"/>
        <w:ind w:left="0"/>
        <w:jc w:val="both"/>
      </w:pPr>
      <w:r>
        <w:rPr>
          <w:rFonts w:ascii="Times New Roman"/>
          <w:b w:val="false"/>
          <w:i w:val="false"/>
          <w:color w:val="000000"/>
          <w:sz w:val="28"/>
        </w:rPr>
        <w:t>
      Ф1.2 – гостиницы, общежития, спальные корпуса санаториев и домов отдыха общего типа, кемпингов, мотелей и пансионатов;</w:t>
      </w:r>
    </w:p>
    <w:bookmarkEnd w:id="12"/>
    <w:bookmarkStart w:name="z25" w:id="13"/>
    <w:p>
      <w:pPr>
        <w:spacing w:after="0"/>
        <w:ind w:left="0"/>
        <w:jc w:val="both"/>
      </w:pPr>
      <w:r>
        <w:rPr>
          <w:rFonts w:ascii="Times New Roman"/>
          <w:b w:val="false"/>
          <w:i w:val="false"/>
          <w:color w:val="000000"/>
          <w:sz w:val="28"/>
        </w:rPr>
        <w:t>
      Ф1.3 – многоквартирные жилые дома;</w:t>
      </w:r>
    </w:p>
    <w:bookmarkEnd w:id="13"/>
    <w:bookmarkStart w:name="z26" w:id="14"/>
    <w:p>
      <w:pPr>
        <w:spacing w:after="0"/>
        <w:ind w:left="0"/>
        <w:jc w:val="both"/>
      </w:pPr>
      <w:r>
        <w:rPr>
          <w:rFonts w:ascii="Times New Roman"/>
          <w:b w:val="false"/>
          <w:i w:val="false"/>
          <w:color w:val="000000"/>
          <w:sz w:val="28"/>
        </w:rPr>
        <w:t>
      Ф1.4 – одноквартирные, в том числе блокированные жилые дома;</w:t>
      </w:r>
    </w:p>
    <w:bookmarkEnd w:id="14"/>
    <w:bookmarkStart w:name="z27" w:id="15"/>
    <w:p>
      <w:pPr>
        <w:spacing w:after="0"/>
        <w:ind w:left="0"/>
        <w:jc w:val="both"/>
      </w:pPr>
      <w:r>
        <w:rPr>
          <w:rFonts w:ascii="Times New Roman"/>
          <w:b w:val="false"/>
          <w:i w:val="false"/>
          <w:color w:val="000000"/>
          <w:sz w:val="28"/>
        </w:rPr>
        <w:t>
      Ф1.5 – многофункциональные здания;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29" w:id="16"/>
    <w:p>
      <w:pPr>
        <w:spacing w:after="0"/>
        <w:ind w:left="0"/>
        <w:jc w:val="both"/>
      </w:pPr>
      <w:r>
        <w:rPr>
          <w:rFonts w:ascii="Times New Roman"/>
          <w:b w:val="false"/>
          <w:i w:val="false"/>
          <w:color w:val="000000"/>
          <w:sz w:val="28"/>
        </w:rPr>
        <w:t>
      4) Ф4 – здания научно-исследовательских организаций и организаций образования, проектных организаций, учреждений органов управления:</w:t>
      </w:r>
    </w:p>
    <w:bookmarkEnd w:id="16"/>
    <w:bookmarkStart w:name="z30" w:id="17"/>
    <w:p>
      <w:pPr>
        <w:spacing w:after="0"/>
        <w:ind w:left="0"/>
        <w:jc w:val="both"/>
      </w:pPr>
      <w:r>
        <w:rPr>
          <w:rFonts w:ascii="Times New Roman"/>
          <w:b w:val="false"/>
          <w:i w:val="false"/>
          <w:color w:val="000000"/>
          <w:sz w:val="28"/>
        </w:rPr>
        <w:t>
      Ф4.1 – организации среднего образования, внешкольные организации дополнительного образования, училища, колледжи, высшие колледжи;</w:t>
      </w:r>
    </w:p>
    <w:bookmarkEnd w:id="17"/>
    <w:bookmarkStart w:name="z31" w:id="18"/>
    <w:p>
      <w:pPr>
        <w:spacing w:after="0"/>
        <w:ind w:left="0"/>
        <w:jc w:val="both"/>
      </w:pPr>
      <w:r>
        <w:rPr>
          <w:rFonts w:ascii="Times New Roman"/>
          <w:b w:val="false"/>
          <w:i w:val="false"/>
          <w:color w:val="000000"/>
          <w:sz w:val="28"/>
        </w:rPr>
        <w:t>
      Ф4.2 – организации высшего и (или) послевузовского образования, организации образования, осуществляющие повышения квалификации;</w:t>
      </w:r>
    </w:p>
    <w:bookmarkEnd w:id="18"/>
    <w:bookmarkStart w:name="z32" w:id="19"/>
    <w:p>
      <w:pPr>
        <w:spacing w:after="0"/>
        <w:ind w:left="0"/>
        <w:jc w:val="both"/>
      </w:pPr>
      <w:r>
        <w:rPr>
          <w:rFonts w:ascii="Times New Roman"/>
          <w:b w:val="false"/>
          <w:i w:val="false"/>
          <w:color w:val="000000"/>
          <w:sz w:val="28"/>
        </w:rPr>
        <w:t>
      Ф4.3 – административные здания, проектно-конструкторские организации, информационные и редакционно-издательские организации, научно-исследовательские организации, банки, конторы, офисы;</w:t>
      </w:r>
    </w:p>
    <w:bookmarkEnd w:id="19"/>
    <w:bookmarkStart w:name="z33" w:id="20"/>
    <w:p>
      <w:pPr>
        <w:spacing w:after="0"/>
        <w:ind w:left="0"/>
        <w:jc w:val="both"/>
      </w:pPr>
      <w:r>
        <w:rPr>
          <w:rFonts w:ascii="Times New Roman"/>
          <w:b w:val="false"/>
          <w:i w:val="false"/>
          <w:color w:val="000000"/>
          <w:sz w:val="28"/>
        </w:rPr>
        <w:t>
      Ф4.4 – пожарные депо;";</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таблицы 2 приложения 7 к техническому регламенту "Общие требования к пожарной безопасности" изложить в следующей редакции:</w:t>
      </w:r>
    </w:p>
    <w:bookmarkStart w:name="z35" w:id="21"/>
    <w:p>
      <w:pPr>
        <w:spacing w:after="0"/>
        <w:ind w:left="0"/>
        <w:jc w:val="both"/>
      </w:pPr>
      <w:r>
        <w:rPr>
          <w:rFonts w:ascii="Times New Roman"/>
          <w:b w:val="false"/>
          <w:i w:val="false"/>
          <w:color w:val="000000"/>
          <w:sz w:val="28"/>
        </w:rPr>
        <w:t>
      "Примечание: Расстояния от зданий дошкольных организаций, организаций среднего образования, интернатных организаций, организаций здравоохранения и отдыха, зрелищных учреждений и спортивных сооружений до складов вместимостью до 100 м</w:t>
      </w:r>
      <w:r>
        <w:rPr>
          <w:rFonts w:ascii="Times New Roman"/>
          <w:b w:val="false"/>
          <w:i w:val="false"/>
          <w:color w:val="000000"/>
          <w:vertAlign w:val="superscript"/>
        </w:rPr>
        <w:t>3</w:t>
      </w:r>
      <w:r>
        <w:rPr>
          <w:rFonts w:ascii="Times New Roman"/>
          <w:b w:val="false"/>
          <w:i w:val="false"/>
          <w:color w:val="000000"/>
          <w:sz w:val="28"/>
        </w:rPr>
        <w:t xml:space="preserve"> допускается увеличивать в два раза, а до складов вместимостью свыше 100 м</w:t>
      </w:r>
      <w:r>
        <w:rPr>
          <w:rFonts w:ascii="Times New Roman"/>
          <w:b w:val="false"/>
          <w:i w:val="false"/>
          <w:color w:val="000000"/>
          <w:vertAlign w:val="superscript"/>
        </w:rPr>
        <w:t>3</w:t>
      </w:r>
      <w:r>
        <w:rPr>
          <w:rFonts w:ascii="Times New Roman"/>
          <w:b w:val="false"/>
          <w:i w:val="false"/>
          <w:color w:val="000000"/>
          <w:sz w:val="28"/>
        </w:rPr>
        <w:t xml:space="preserve"> – принимать в соответствии с требованиями нормативных документов в области архитектуры, градостроительства и строительства.";</w:t>
      </w:r>
    </w:p>
    <w:bookmarkEnd w:id="21"/>
    <w:bookmarkStart w:name="z36" w:id="22"/>
    <w:p>
      <w:pPr>
        <w:spacing w:after="0"/>
        <w:ind w:left="0"/>
        <w:jc w:val="both"/>
      </w:pPr>
      <w:r>
        <w:rPr>
          <w:rFonts w:ascii="Times New Roman"/>
          <w:b w:val="false"/>
          <w:i w:val="false"/>
          <w:color w:val="000000"/>
          <w:sz w:val="28"/>
        </w:rPr>
        <w:t xml:space="preserve">
      пункт 1 примечаний </w:t>
      </w:r>
      <w:r>
        <w:rPr>
          <w:rFonts w:ascii="Times New Roman"/>
          <w:b w:val="false"/>
          <w:i w:val="false"/>
          <w:color w:val="000000"/>
          <w:sz w:val="28"/>
        </w:rPr>
        <w:t>таблицы 2</w:t>
      </w:r>
      <w:r>
        <w:rPr>
          <w:rFonts w:ascii="Times New Roman"/>
          <w:b w:val="false"/>
          <w:i w:val="false"/>
          <w:color w:val="000000"/>
          <w:sz w:val="28"/>
        </w:rPr>
        <w:t xml:space="preserve"> приложения 8 техническому регламенту "Общие требования к пожарной безопасности" изложить в следующей редакции:</w:t>
      </w:r>
    </w:p>
    <w:bookmarkEnd w:id="22"/>
    <w:bookmarkStart w:name="z37" w:id="23"/>
    <w:p>
      <w:pPr>
        <w:spacing w:after="0"/>
        <w:ind w:left="0"/>
        <w:jc w:val="both"/>
      </w:pPr>
      <w:r>
        <w:rPr>
          <w:rFonts w:ascii="Times New Roman"/>
          <w:b w:val="false"/>
          <w:i w:val="false"/>
          <w:color w:val="000000"/>
          <w:sz w:val="28"/>
        </w:rPr>
        <w:t>
      "1. Расстояние необходимо определять от подземных резервуаров хранения топлива, раздаточных колонок, площадки для слива из автоцистерны до границ земельных участка дошкольных организаций, организаций среднего образования, интернатных организаций, медицинских организаций, оказывающих медицинскую помощь в стационарных условиях, или до стен жилых и общественных зданий другого назначения;";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к техническому регламенту "Общие требования к пожарной безопасности"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39" w:id="24"/>
    <w:p>
      <w:pPr>
        <w:spacing w:after="0"/>
        <w:ind w:left="0"/>
        <w:jc w:val="both"/>
      </w:pPr>
      <w:r>
        <w:rPr>
          <w:rFonts w:ascii="Times New Roman"/>
          <w:b w:val="false"/>
          <w:i w:val="false"/>
          <w:color w:val="000000"/>
          <w:sz w:val="28"/>
        </w:rPr>
        <w:t>
      2. Комитету противопожарной службы Министерства по чрезвычайным ситуациям Республики Казахстан в установленном законодательством порядке обеспечить:</w:t>
      </w:r>
    </w:p>
    <w:bookmarkEnd w:id="24"/>
    <w:bookmarkStart w:name="z40" w:id="2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5"/>
    <w:bookmarkStart w:name="z41" w:id="26"/>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26"/>
    <w:bookmarkStart w:name="z42" w:id="2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27"/>
    <w:bookmarkStart w:name="z43" w:id="2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28"/>
    <w:bookmarkStart w:name="z44" w:id="2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bookmarkStart w:name="z46"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7" w:id="31"/>
      <w:r>
        <w:rPr>
          <w:rFonts w:ascii="Times New Roman"/>
          <w:b w:val="false"/>
          <w:i w:val="false"/>
          <w:color w:val="000000"/>
          <w:sz w:val="28"/>
        </w:rPr>
        <w:t>
      "СОГЛАСОВАН"</w:t>
      </w:r>
    </w:p>
    <w:bookmarkEnd w:id="31"/>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8"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"Общие требования</w:t>
            </w:r>
            <w:r>
              <w:br/>
            </w:r>
            <w:r>
              <w:rPr>
                <w:rFonts w:ascii="Times New Roman"/>
                <w:b w:val="false"/>
                <w:i w:val="false"/>
                <w:color w:val="000000"/>
                <w:sz w:val="20"/>
              </w:rPr>
              <w:t>к пожарной безопасности"</w:t>
            </w:r>
          </w:p>
        </w:tc>
      </w:tr>
    </w:tbl>
    <w:bookmarkStart w:name="z51" w:id="33"/>
    <w:p>
      <w:pPr>
        <w:spacing w:after="0"/>
        <w:ind w:left="0"/>
        <w:jc w:val="left"/>
      </w:pPr>
      <w:r>
        <w:rPr>
          <w:rFonts w:ascii="Times New Roman"/>
          <w:b/>
          <w:i w:val="false"/>
          <w:color w:val="000000"/>
        </w:rPr>
        <w:t xml:space="preserve"> Противопожарные расстояния от мест хранения и обслуживания транспортных средств</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до которых определяется расстояние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Расстояния до соседних зданий,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гаражей и открытых стоянок при числе легковых автомобилей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станций технического обслуживания при числе постов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Жилых домов: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стен с проемами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глухих стен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Общественных зданий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Организаций среднего образования, дошкольных организаций, интернатных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Медицинских организаций, оказывающих медицинскую помощь в стационарных условиях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в скобках указаны значения для гаражей III-V степеней огнестойкости.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