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9eb3" w14:textId="0b69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20 октября 2022 года № 585. Зарегистрирован в Министерстве юстиции Республики Казахстан 21 октября 2022 года № 30274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2022 года № 585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bookmarkStart w:name="z17" w:id="9"/>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9"/>
    <w:bookmarkStart w:name="z18" w:id="10"/>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разработанного проектной организацией, имеющей соответствующую лицензию:</w:t>
      </w:r>
    </w:p>
    <w:bookmarkEnd w:id="10"/>
    <w:bookmarkStart w:name="z19" w:id="11"/>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1"/>
    <w:bookmarkStart w:name="z20" w:id="12"/>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12"/>
    <w:bookmarkStart w:name="z21" w:id="13"/>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13"/>
    <w:bookmarkStart w:name="z22" w:id="14"/>
    <w:p>
      <w:pPr>
        <w:spacing w:after="0"/>
        <w:ind w:left="0"/>
        <w:jc w:val="both"/>
      </w:pPr>
      <w:r>
        <w:rPr>
          <w:rFonts w:ascii="Times New Roman"/>
          <w:b w:val="false"/>
          <w:i w:val="false"/>
          <w:color w:val="000000"/>
          <w:sz w:val="28"/>
        </w:rPr>
        <w:t>
      4. Планы этажей с экспликацией помещений, разрезы в масштабе 1:100; 1:200; 1:400 (один из перечисленных);</w:t>
      </w:r>
    </w:p>
    <w:bookmarkEnd w:id="14"/>
    <w:bookmarkStart w:name="z23" w:id="15"/>
    <w:p>
      <w:pPr>
        <w:spacing w:after="0"/>
        <w:ind w:left="0"/>
        <w:jc w:val="both"/>
      </w:pPr>
      <w:r>
        <w:rPr>
          <w:rFonts w:ascii="Times New Roman"/>
          <w:b w:val="false"/>
          <w:i w:val="false"/>
          <w:color w:val="000000"/>
          <w:sz w:val="28"/>
        </w:rPr>
        <w:t>
      5. План кровли в масштабе 1:50; 1:100; 1:200; 1:400 (один из перечисленных);</w:t>
      </w:r>
    </w:p>
    <w:bookmarkEnd w:id="15"/>
    <w:bookmarkStart w:name="z24" w:id="16"/>
    <w:p>
      <w:pPr>
        <w:spacing w:after="0"/>
        <w:ind w:left="0"/>
        <w:jc w:val="both"/>
      </w:pPr>
      <w:r>
        <w:rPr>
          <w:rFonts w:ascii="Times New Roman"/>
          <w:b w:val="false"/>
          <w:i w:val="false"/>
          <w:color w:val="000000"/>
          <w:sz w:val="28"/>
        </w:rPr>
        <w:t>
      6. Планы инженерных сетей;</w:t>
      </w:r>
    </w:p>
    <w:bookmarkEnd w:id="16"/>
    <w:bookmarkStart w:name="z25" w:id="17"/>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17"/>
    <w:bookmarkStart w:name="z26" w:id="18"/>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помещений (отдельных частей) существующих зданий и сооружений, разработанного проектной организацией, имеющей соответствующую лицензию:</w:t>
      </w:r>
    </w:p>
    <w:bookmarkEnd w:id="18"/>
    <w:bookmarkStart w:name="z27" w:id="19"/>
    <w:p>
      <w:pPr>
        <w:spacing w:after="0"/>
        <w:ind w:left="0"/>
        <w:jc w:val="both"/>
      </w:pPr>
      <w:r>
        <w:rPr>
          <w:rFonts w:ascii="Times New Roman"/>
          <w:b w:val="false"/>
          <w:i w:val="false"/>
          <w:color w:val="000000"/>
          <w:sz w:val="28"/>
        </w:rPr>
        <w:t>
      1. Ситуационный план в масштабе 1:1000; 1:2000; 1:5000 (один из перечисленных) при изменении фасада в связи с устройством входной группы, реконструкции путем строительства пристройки;</w:t>
      </w:r>
    </w:p>
    <w:bookmarkEnd w:id="19"/>
    <w:bookmarkStart w:name="z28" w:id="20"/>
    <w:p>
      <w:pPr>
        <w:spacing w:after="0"/>
        <w:ind w:left="0"/>
        <w:jc w:val="both"/>
      </w:pPr>
      <w:r>
        <w:rPr>
          <w:rFonts w:ascii="Times New Roman"/>
          <w:b w:val="false"/>
          <w:i w:val="false"/>
          <w:color w:val="000000"/>
          <w:sz w:val="28"/>
        </w:rPr>
        <w:t>
      2. Генеральный план объекта в масштабе 1:500; 1:1000 (один из перечисленных) при изменении фасада в связи с устройством входной группы, реконструкции путем строительства пристройки;</w:t>
      </w:r>
    </w:p>
    <w:bookmarkEnd w:id="20"/>
    <w:bookmarkStart w:name="z29" w:id="21"/>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 при изменении фасада в связи с устройством входной группы, реконструкции путем строительства пристройки;</w:t>
      </w:r>
    </w:p>
    <w:bookmarkEnd w:id="21"/>
    <w:bookmarkStart w:name="z30" w:id="22"/>
    <w:p>
      <w:pPr>
        <w:spacing w:after="0"/>
        <w:ind w:left="0"/>
        <w:jc w:val="both"/>
      </w:pPr>
      <w:r>
        <w:rPr>
          <w:rFonts w:ascii="Times New Roman"/>
          <w:b w:val="false"/>
          <w:i w:val="false"/>
          <w:color w:val="000000"/>
          <w:sz w:val="28"/>
        </w:rPr>
        <w:t>
      4. Планы помещений до реконструкции (перепланировки, переоборудования);</w:t>
      </w:r>
    </w:p>
    <w:bookmarkEnd w:id="22"/>
    <w:bookmarkStart w:name="z31" w:id="23"/>
    <w:p>
      <w:pPr>
        <w:spacing w:after="0"/>
        <w:ind w:left="0"/>
        <w:jc w:val="both"/>
      </w:pPr>
      <w:r>
        <w:rPr>
          <w:rFonts w:ascii="Times New Roman"/>
          <w:b w:val="false"/>
          <w:i w:val="false"/>
          <w:color w:val="000000"/>
          <w:sz w:val="28"/>
        </w:rPr>
        <w:t>
      5. Планы помещений после реконструкции (перепланировки, переоборудования);</w:t>
      </w:r>
    </w:p>
    <w:bookmarkEnd w:id="23"/>
    <w:bookmarkStart w:name="z32" w:id="24"/>
    <w:p>
      <w:pPr>
        <w:spacing w:after="0"/>
        <w:ind w:left="0"/>
        <w:jc w:val="both"/>
      </w:pPr>
      <w:r>
        <w:rPr>
          <w:rFonts w:ascii="Times New Roman"/>
          <w:b w:val="false"/>
          <w:i w:val="false"/>
          <w:color w:val="000000"/>
          <w:sz w:val="28"/>
        </w:rPr>
        <w:t>
      6. План кровли в масштабе 1:50; 1:100; 1:200; 1:400 (один из перечисленных) при изменении этажности и реконструкции путем строительства пристройки;</w:t>
      </w:r>
    </w:p>
    <w:bookmarkEnd w:id="24"/>
    <w:bookmarkStart w:name="z33" w:id="25"/>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с описанием состояния демонтируемых конструкций, с выводами о виде реконструкции (перепланировки, переоборудовании) - связана (не связана) с изменением несущих и ограждающих (наружных) конструкций, инженерных систем и оборудования.</w:t>
      </w:r>
    </w:p>
    <w:bookmarkEnd w:id="25"/>
    <w:bookmarkStart w:name="z34" w:id="26"/>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26"/>
    <w:bookmarkStart w:name="z35" w:id="27"/>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7"/>
    <w:bookmarkStart w:name="z36" w:id="28"/>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28"/>
    <w:bookmarkStart w:name="z37" w:id="29"/>
    <w:p>
      <w:pPr>
        <w:spacing w:after="0"/>
        <w:ind w:left="0"/>
        <w:jc w:val="both"/>
      </w:pPr>
      <w:r>
        <w:rPr>
          <w:rFonts w:ascii="Times New Roman"/>
          <w:b w:val="false"/>
          <w:i w:val="false"/>
          <w:color w:val="000000"/>
          <w:sz w:val="28"/>
        </w:rPr>
        <w:t>
      3. Конструктивные решения;</w:t>
      </w:r>
    </w:p>
    <w:bookmarkEnd w:id="29"/>
    <w:bookmarkStart w:name="z38" w:id="30"/>
    <w:p>
      <w:pPr>
        <w:spacing w:after="0"/>
        <w:ind w:left="0"/>
        <w:jc w:val="both"/>
      </w:pPr>
      <w:r>
        <w:rPr>
          <w:rFonts w:ascii="Times New Roman"/>
          <w:b w:val="false"/>
          <w:i w:val="false"/>
          <w:color w:val="000000"/>
          <w:sz w:val="28"/>
        </w:rPr>
        <w:t>
      4. Решение по инженерному обеспечению;</w:t>
      </w:r>
    </w:p>
    <w:bookmarkEnd w:id="30"/>
    <w:bookmarkStart w:name="z39" w:id="31"/>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31"/>
    <w:bookmarkStart w:name="z40" w:id="32"/>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32"/>
    <w:bookmarkStart w:name="z41" w:id="33"/>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33"/>
    <w:bookmarkStart w:name="z42" w:id="34"/>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строения, инженерные и транспортные коммуникации, элементы благоустройства и многолетние зеленые насаждения;</w:t>
      </w:r>
    </w:p>
    <w:bookmarkEnd w:id="34"/>
    <w:bookmarkStart w:name="z43" w:id="35"/>
    <w:p>
      <w:pPr>
        <w:spacing w:after="0"/>
        <w:ind w:left="0"/>
        <w:jc w:val="both"/>
      </w:pPr>
      <w:r>
        <w:rPr>
          <w:rFonts w:ascii="Times New Roman"/>
          <w:b w:val="false"/>
          <w:i w:val="false"/>
          <w:color w:val="000000"/>
          <w:sz w:val="28"/>
        </w:rPr>
        <w:t>
      3. Планы инженерных сетей;</w:t>
      </w:r>
    </w:p>
    <w:bookmarkEnd w:id="35"/>
    <w:bookmarkStart w:name="z44" w:id="36"/>
    <w:p>
      <w:pPr>
        <w:spacing w:after="0"/>
        <w:ind w:left="0"/>
        <w:jc w:val="both"/>
      </w:pPr>
      <w:r>
        <w:rPr>
          <w:rFonts w:ascii="Times New Roman"/>
          <w:b w:val="false"/>
          <w:i w:val="false"/>
          <w:color w:val="000000"/>
          <w:sz w:val="28"/>
        </w:rPr>
        <w:t>
      4. Профили инженерных сетей;</w:t>
      </w:r>
    </w:p>
    <w:bookmarkEnd w:id="36"/>
    <w:bookmarkStart w:name="z45" w:id="37"/>
    <w:p>
      <w:pPr>
        <w:spacing w:after="0"/>
        <w:ind w:left="0"/>
        <w:jc w:val="both"/>
      </w:pPr>
      <w:r>
        <w:rPr>
          <w:rFonts w:ascii="Times New Roman"/>
          <w:b w:val="false"/>
          <w:i w:val="false"/>
          <w:color w:val="000000"/>
          <w:sz w:val="28"/>
        </w:rPr>
        <w:t>
      5. Конструктивные и строительные решения;</w:t>
      </w:r>
    </w:p>
    <w:bookmarkEnd w:id="37"/>
    <w:bookmarkStart w:name="z46" w:id="38"/>
    <w:p>
      <w:pPr>
        <w:spacing w:after="0"/>
        <w:ind w:left="0"/>
        <w:jc w:val="both"/>
      </w:pPr>
      <w:r>
        <w:rPr>
          <w:rFonts w:ascii="Times New Roman"/>
          <w:b w:val="false"/>
          <w:i w:val="false"/>
          <w:color w:val="000000"/>
          <w:sz w:val="28"/>
        </w:rPr>
        <w:t>
      6. Спецификации;</w:t>
      </w:r>
    </w:p>
    <w:bookmarkEnd w:id="38"/>
    <w:bookmarkStart w:name="z47" w:id="39"/>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53" w:id="40"/>
    <w:p>
      <w:pPr>
        <w:spacing w:after="0"/>
        <w:ind w:left="0"/>
        <w:jc w:val="left"/>
      </w:pPr>
      <w:r>
        <w:rPr>
          <w:rFonts w:ascii="Times New Roman"/>
          <w:b/>
          <w:i w:val="false"/>
          <w:color w:val="000000"/>
        </w:rPr>
        <w:t xml:space="preserve"> Жобалауға арналған сәулет-жоспарлау тапсырмасы (СЖТ)</w:t>
      </w:r>
      <w:r>
        <w:br/>
      </w:r>
      <w:r>
        <w:rPr>
          <w:rFonts w:ascii="Times New Roman"/>
          <w:b/>
          <w:i w:val="false"/>
          <w:color w:val="000000"/>
        </w:rPr>
        <w:t>Архитектурно – планировочное задание на проектирование (АПЗ)</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от "__"______ 20____ года</w:t>
            </w:r>
            <w:r>
              <w:br/>
            </w:r>
            <w:r>
              <w:rPr>
                <w:rFonts w:ascii="Times New Roman"/>
                <w:b w:val="false"/>
                <w:i w:val="false"/>
                <w:color w:val="000000"/>
                <w:sz w:val="20"/>
              </w:rPr>
              <w:t>№__ 20___ жылғы "__"________</w:t>
            </w:r>
          </w:p>
        </w:tc>
      </w:tr>
    </w:tbl>
    <w:p>
      <w:pPr>
        <w:spacing w:after="0"/>
        <w:ind w:left="0"/>
        <w:jc w:val="both"/>
      </w:pPr>
      <w:bookmarkStart w:name="z55" w:id="41"/>
      <w:r>
        <w:rPr>
          <w:rFonts w:ascii="Times New Roman"/>
          <w:b w:val="false"/>
          <w:i w:val="false"/>
          <w:color w:val="000000"/>
          <w:sz w:val="28"/>
        </w:rPr>
        <w:t>
      Объектінің атауы: __________________________________________________________________</w:t>
      </w:r>
    </w:p>
    <w:bookmarkEnd w:id="41"/>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Тапсырыс беруші (құрылыс салушы, инвестор): _________________________________________</w:t>
      </w:r>
    </w:p>
    <w:p>
      <w:pPr>
        <w:spacing w:after="0"/>
        <w:ind w:left="0"/>
        <w:jc w:val="both"/>
      </w:pPr>
      <w:r>
        <w:rPr>
          <w:rFonts w:ascii="Times New Roman"/>
          <w:b w:val="false"/>
          <w:i w:val="false"/>
          <w:color w:val="000000"/>
          <w:sz w:val="28"/>
        </w:rPr>
        <w:t>Заказчик (застройщик, инвестор):</w:t>
      </w:r>
    </w:p>
    <w:p>
      <w:pPr>
        <w:spacing w:after="0"/>
        <w:ind w:left="0"/>
        <w:jc w:val="both"/>
      </w:pPr>
      <w:r>
        <w:rPr>
          <w:rFonts w:ascii="Times New Roman"/>
          <w:b w:val="false"/>
          <w:i w:val="false"/>
          <w:color w:val="000000"/>
          <w:sz w:val="28"/>
        </w:rPr>
        <w:t>Объектінің мекенжайы ______________________________________________________________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Қала (елді мекен), жыл ______________________________________________________________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42"/>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w:t>
            </w:r>
          </w:p>
          <w:bookmarkEnd w:id="43"/>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орналасқан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Планировочная система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Объемно-пространственное решение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Қысқаша сипаттамасы</w:t>
            </w:r>
          </w:p>
          <w:bookmarkEnd w:id="44"/>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Қысқаша сипаттамасы</w:t>
            </w:r>
          </w:p>
          <w:bookmarkEnd w:id="45"/>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жизнедеятельности маломобильных групп населения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конструкции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требованиям нормативных документов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поливочные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переносу существующих подземных и надземных инженерных коммуникаций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2.Ресурс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60" w:id="46"/>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bookmarkEnd w:id="46"/>
    <w:bookmarkStart w:name="z61" w:id="47"/>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47"/>
    <w:bookmarkStart w:name="z62" w:id="48"/>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bookmarkEnd w:id="48"/>
    <w:bookmarkStart w:name="z63" w:id="49"/>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49"/>
    <w:bookmarkStart w:name="z64" w:id="50"/>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50"/>
    <w:bookmarkStart w:name="z65" w:id="51"/>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51"/>
    <w:bookmarkStart w:name="z66" w:id="52"/>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52"/>
    <w:bookmarkStart w:name="z67" w:id="53"/>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