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684f" w14:textId="fca6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товаров, работ, услуг при осуществлении государственных закупок и закупок товаров, работ,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ноября 2022 года № 627. Зарегистрирован в Министерстве юстиции Республики Казахстан 14 ноября 2022 года № 30527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требования по энергоэффективности товаров, работ, услуг при осуществлении государственных закупок и закупок товаров, работ,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627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энергоэффективности товаров, работ, услуг при осуществлении государственных закупок и закупок товаров, работ, услуг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приборы бытового назначения (холодильники, морозильники и их комбинации), которые могут применяться в коммерческих целях (на производстве, в сфере торговли и услуг), питаются от сети переменного тока с номинальным напряжением до 250 В (включительно) и имеют полезный объем охлажденной и (или) замороженной пищевой и (или) иной продукции не более 1500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приборы бытового назначения должны иметь класс энергетической эффективности не ниже А+, что соответствует индексу энергетической эффективности EEI&lt;42.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2023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светодиодных источников света, применяемых для внутреннего освещения, устанавливаются требования по световой отдаче на уровне не менее 120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люминесцентных ламп T5, применяемых для внутреннего освещения, устанавливаются требования по световой отдаче на уровне не менее 80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люминесцентных ламп T8, применяемых для внутреннего освещения, устанавливаются требования по световой отдаче на уровне не менее 85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люминесцентных ламп T9 (круглая), применяемых для внутреннего освещения, устанавливаются требования по световой отдаче на уровне не менее 70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индукционных ламп, применяемых для внутреннего освещения, устанавливаются требования по световой отдаче на уровне не менее 70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компактных люминесцентных ламп (КЛЛ), применяемых для внутреннего освещения, устанавливаются требования по световой отдаче на уровне не менее 70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натриевых ламп высокого давления, устанавливаются требования по световой отдаче на уровне не менее 80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металлогалогенных ламп, устанавливаются требования по световой отдаче на уровне не менее 80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керамических металлогалогенных ламп, устанавливаются требования по световой отдаче на уровне не менее 85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кварцевых металлогалогенных ламп, устанавливаются требования по световой отдаче на уровне не менее 80 люмен/Ватт.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органических светодиодных ламп (OLED), устанавливаются требования по световой отдаче на уровне не менее 65 люмен/Ватт.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Телевизоры, питающиеся от электрической сети с номинальным напряжением до 250 В (включительно) и предназначенные для эксплуатации в жилых и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 должны иметь класс энергетической эффективности не ниже А, что соответствует индексу энергетической эффективности EEI&lt;0,30.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автоматические стиральные машины, которые могут применяться и в коммерческих целях (на производстве, в торговле и сфере услуг), питаемые от сети переменного тока с номинальным напряжением до 250 В (включительно), стиральные машины, которые наряду с питанием от сети могут работать от электрических батарей (аккумуляторов), а также встраиваемые стиральные машины, за исключением комбинированных стирально-сушильных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автоматические стиральные машины должны иметь класс энергетической эффективности не ниже А+, что соответствует индексу энергетической эффективности EEI&lt;0,59.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посудомоечные машины, питаемые от сети переменного тока с номинальным напряжением до 230 В, в том числе применяемые в не бытовых целях, способные работать также от электрических батарей (аккумуляторов) и встраиваемые.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посудомоечные машины должны иметь класс энергетической эффективности не ниже А++, что соответствует индексу энергетической эффективности EEI&lt;0,56.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и серверы, предназначенные для питания непосредственно от сети переменного тока, в том числе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или внутренний источник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потребление электроэнергии (ETEC) (в кВт*ч/год) настольного компьютера и моноблочного настольного компьютера не должно превышать: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А - 94,00;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В - 112,00;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С - 134,00;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D - 150,00.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потребление электроэнергии ноутбука (ETEC) (в кВт*ч/год) не должно превышать: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А - 27,00;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В - 36,00;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С - 60,50.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2026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Герметичные циркуляционные насосы автономные и интегрированные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Циркуляционные насосы должны иметь индекс энергетической эффективности не более 0,23 (EEI&lt;0,23).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2027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с электроприводом мощностью от 125 Вт (включительно) до 500 кВт (включительно) и напряжением питания до 1000 В (включительно) переменного и до 1500 В (включительно)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эффективности (N) вентиляторов: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осевой вентилятор, категория измерений A, C – 40; категория измерений B, D –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радиальный вентилятор с загнутыми вперед лопастями и радиальный вентилятор с прямыми радиальными лопастями, категория измерений A, C – 44; категория измерений B, D –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радиальный вентилятор с загнутыми назад лопастями без корпуса, категория измерений A, С –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радиальный вентилятор с загнутыми назад лопастями в корпусе, категория измерений A, C – 61, категория измерений B, D –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диагональный вентилятор, категория измерений A, C – 50, категория измерений B, D –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диаметральный вентилятор, категория измерений B, D – 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2027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Питаемые от сети переменного тока бытовые машины сушильные барабанного типа для текстильных изделий, которые могут применяться и в коммерческих целях (на производстве, в торговле и сфере услуг), с устройством электрического или газового подогрева воздуха, в том числе встраиваемые машины сушильные барабанного типа, за исключением центрифуг и машин сушильных, входящих в состав комбинированных машин стирально-сушильных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машины сушильные барабанного типа должны иметь класс энергетической эффективности не ниже А, что соответствует индексу энергетической эффективности EEI&lt;0,65.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2027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Питающиеся от электрической сети кондиционеры воздуха с номинальной мощностью для охлаждения и (или) для обогрева не более 12 кВт, а также комнатные вентиляторы с номинальной потребляемой мощностью не более 125 кВт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воздуха должны иметь класс энергетической эффективности не ниже B.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2027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Односкоростные трехфазные двигатели электрические асинхронные (индукционные) с короткозамкнутым ротором, количеством полюсов от 2 до 6, номинальным напряжением до 1000 В, номинальной частотой 50 или 50/60 Гц и номинальной мощностью от 0,75 до 375 кВт, предназначенные для работы в непрерывном режиме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электрические асинхронные должны иметь класс энергетической эффективности не ниже IE3.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2028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 интегрированные насосы, предназначенные для перекачки чистой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 интегрированные насосы должны иметь минимальный индекс энергоэффективности равный или более 0,50 (MEI ≥ 0,50).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2028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параметров энергоэффективности (потери холостого хода и (или) потери короткого замыкания) должен соответствовать классу энергоэффективности 2 и более (X2, Х3, Х4 и (или) К2, К3)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насосного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должны быть выполнены с использованием товаров, на которые распространяются требования по энергоэффективности в соответствии с настоящими Требованиями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даты введения в действие требований по энергоэффективности на соответствующие товары, предусмотренные настоящими Требованиями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климатического оборудования и систем/вентиляционных систем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оборудования для стирки/чистки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энергоэффективного освещения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внедрению/установке/улучшению оборудования для электродвигателя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(строительству) жилых зданий/сооружений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реконструкции 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восстановлению 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(строительству) нежилых зданий/сооружений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нежилых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реконструкции нежилых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восстановлению нежилых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ремонту/реконструкции отдельных элементов нежилых зданий/сооружений/помещений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установке/монтажу климатического оборудования и систем/вентиляционных систем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компьютерной/периферийной оргтехники/оборудования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содержанию/обеспечению декоративной подсветки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должны быть оказаны с использованием товаров, на которые распространяются требования по энергоэффективности в соответствии с настоящими Требованиями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даты введения в действие требований по энергоэффективности на соответствующие товары, предусмотренные настоящими Требованиями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зданий/сооружений/помещений и прилегающих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световых конструкций/светодиодных экранов и аналогичного оборудования и конструкций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