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b5e" w14:textId="bd12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25 ноября 2022 года № ҚР ДСМ-140. Зарегистрирован в Министерстве юстиции Республики Казахстан 28 ноября 2022 года № 30768.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24.11.2022.</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прилагаемую типовую </w:t>
      </w:r>
      <w:r>
        <w:rPr>
          <w:rFonts w:ascii="Times New Roman"/>
          <w:b w:val="false"/>
          <w:i w:val="false"/>
          <w:color w:val="000000"/>
          <w:sz w:val="28"/>
        </w:rPr>
        <w:t>систему оплаты</w:t>
      </w:r>
      <w:r>
        <w:rPr>
          <w:rFonts w:ascii="Times New Roman"/>
          <w:b w:val="false"/>
          <w:i w:val="false"/>
          <w:color w:val="000000"/>
          <w:sz w:val="28"/>
        </w:rPr>
        <w:t xml:space="preserve">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1"/>
    <w:bookmarkStart w:name="z7"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24 ноября 2022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труда </w:t>
      </w:r>
    </w:p>
    <w:p>
      <w:pPr>
        <w:spacing w:after="0"/>
        <w:ind w:left="0"/>
        <w:jc w:val="both"/>
      </w:pPr>
      <w:r>
        <w:rPr>
          <w:rFonts w:ascii="Times New Roman"/>
          <w:b w:val="false"/>
          <w:i w:val="false"/>
          <w:color w:val="000000"/>
          <w:sz w:val="28"/>
        </w:rPr>
        <w:t xml:space="preserve">и 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2022 года</w:t>
            </w:r>
            <w:r>
              <w:br/>
            </w:r>
            <w:r>
              <w:rPr>
                <w:rFonts w:ascii="Times New Roman"/>
                <w:b w:val="false"/>
                <w:i w:val="false"/>
                <w:color w:val="000000"/>
                <w:sz w:val="20"/>
              </w:rPr>
              <w:t>№ ҚР ДСМ-140</w:t>
            </w:r>
          </w:p>
        </w:tc>
      </w:tr>
    </w:tbl>
    <w:bookmarkStart w:name="z17" w:id="10"/>
    <w:p>
      <w:pPr>
        <w:spacing w:after="0"/>
        <w:ind w:left="0"/>
        <w:jc w:val="left"/>
      </w:pPr>
      <w:r>
        <w:rPr>
          <w:rFonts w:ascii="Times New Roman"/>
          <w:b/>
          <w:i w:val="false"/>
          <w:color w:val="000000"/>
        </w:rPr>
        <w:t xml:space="preserve"> Типовая система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Настоящая типовая система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(далее – типовая система оплаты труда)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(далее – Закон) и определяет порядок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12"/>
    <w:bookmarkStart w:name="z20" w:id="13"/>
    <w:p>
      <w:pPr>
        <w:spacing w:after="0"/>
        <w:ind w:left="0"/>
        <w:jc w:val="both"/>
      </w:pPr>
      <w:r>
        <w:rPr>
          <w:rFonts w:ascii="Times New Roman"/>
          <w:b w:val="false"/>
          <w:i w:val="false"/>
          <w:color w:val="000000"/>
          <w:sz w:val="28"/>
        </w:rPr>
        <w:t>
      2. В системе оплаты труда применяются следующие определения:</w:t>
      </w:r>
    </w:p>
    <w:bookmarkEnd w:id="13"/>
    <w:bookmarkStart w:name="z21" w:id="14"/>
    <w:p>
      <w:pPr>
        <w:spacing w:after="0"/>
        <w:ind w:left="0"/>
        <w:jc w:val="both"/>
      </w:pPr>
      <w:r>
        <w:rPr>
          <w:rFonts w:ascii="Times New Roman"/>
          <w:b w:val="false"/>
          <w:i w:val="false"/>
          <w:color w:val="000000"/>
          <w:sz w:val="28"/>
        </w:rPr>
        <w:t>
      1)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4"/>
    <w:bookmarkStart w:name="z22" w:id="15"/>
    <w:p>
      <w:pPr>
        <w:spacing w:after="0"/>
        <w:ind w:left="0"/>
        <w:jc w:val="both"/>
      </w:pPr>
      <w:r>
        <w:rPr>
          <w:rFonts w:ascii="Times New Roman"/>
          <w:b w:val="false"/>
          <w:i w:val="false"/>
          <w:color w:val="000000"/>
          <w:sz w:val="28"/>
        </w:rPr>
        <w:t xml:space="preserve">
      2) оплата труда – система отношений, связанных с обеспечением работодателем обязательной выплаты работнику вознаграждения за его труд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5"/>
    <w:bookmarkStart w:name="z23" w:id="16"/>
    <w:p>
      <w:pPr>
        <w:spacing w:after="0"/>
        <w:ind w:left="0"/>
        <w:jc w:val="both"/>
      </w:pPr>
      <w:r>
        <w:rPr>
          <w:rFonts w:ascii="Times New Roman"/>
          <w:b w:val="false"/>
          <w:i w:val="false"/>
          <w:color w:val="000000"/>
          <w:sz w:val="28"/>
        </w:rPr>
        <w:t>
      3) вспомогательный персонал – работники субъектов, осуществляющих обращение с патогенными биологическими агентами (далее – ПБА), выполняющие вспомогательную функцию при обращении с ПБА (санитар (санитарка), дезинфектор, водитель);</w:t>
      </w:r>
    </w:p>
    <w:bookmarkEnd w:id="16"/>
    <w:bookmarkStart w:name="z24" w:id="17"/>
    <w:p>
      <w:pPr>
        <w:spacing w:after="0"/>
        <w:ind w:left="0"/>
        <w:jc w:val="both"/>
      </w:pPr>
      <w:r>
        <w:rPr>
          <w:rFonts w:ascii="Times New Roman"/>
          <w:b w:val="false"/>
          <w:i w:val="false"/>
          <w:color w:val="000000"/>
          <w:sz w:val="28"/>
        </w:rPr>
        <w:t>
      4) специалист, осуществляющий обращение с патогенными биологическими агентами – физическое лицо, имеющее техническое и профессиональное и (или) послесреднее образование и (или) высшее и (или) послевузовское образование, и (или) ученую степень и допущенное в установленном порядке к обращению с ПБА.</w:t>
      </w:r>
    </w:p>
    <w:bookmarkEnd w:id="17"/>
    <w:bookmarkStart w:name="z25" w:id="18"/>
    <w:p>
      <w:pPr>
        <w:spacing w:after="0"/>
        <w:ind w:left="0"/>
        <w:jc w:val="left"/>
      </w:pPr>
      <w:r>
        <w:rPr>
          <w:rFonts w:ascii="Times New Roman"/>
          <w:b/>
          <w:i w:val="false"/>
          <w:color w:val="000000"/>
        </w:rPr>
        <w:t xml:space="preserve"> Глава 2. Типовая система оплаты труда</w:t>
      </w:r>
    </w:p>
    <w:bookmarkEnd w:id="18"/>
    <w:bookmarkStart w:name="z26" w:id="19"/>
    <w:p>
      <w:pPr>
        <w:spacing w:after="0"/>
        <w:ind w:left="0"/>
        <w:jc w:val="both"/>
      </w:pPr>
      <w:r>
        <w:rPr>
          <w:rFonts w:ascii="Times New Roman"/>
          <w:b w:val="false"/>
          <w:i w:val="false"/>
          <w:color w:val="000000"/>
          <w:sz w:val="28"/>
        </w:rPr>
        <w:t>
      3. Система оплаты труда включает в себя оплату труда на основе применения:</w:t>
      </w:r>
    </w:p>
    <w:bookmarkEnd w:id="19"/>
    <w:bookmarkStart w:name="z108" w:id="20"/>
    <w:p>
      <w:pPr>
        <w:spacing w:after="0"/>
        <w:ind w:left="0"/>
        <w:jc w:val="both"/>
      </w:pPr>
      <w:r>
        <w:rPr>
          <w:rFonts w:ascii="Times New Roman"/>
          <w:b w:val="false"/>
          <w:i w:val="false"/>
          <w:color w:val="000000"/>
          <w:sz w:val="28"/>
        </w:rPr>
        <w:t xml:space="preserve">
      1) классификации должностей специалистов, осуществляющих обращение с ПБА I и II групп патогенности и вспомогательного персонала, выполняющих вспомогательную функцию при осуществлении обращения с ПБА I и II групп патогенности согласно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за счет средств государственного бюджета, работников казенных предприятий" (далее – постановление);</w:t>
      </w:r>
    </w:p>
    <w:bookmarkEnd w:id="20"/>
    <w:bookmarkStart w:name="z109" w:id="21"/>
    <w:p>
      <w:pPr>
        <w:spacing w:after="0"/>
        <w:ind w:left="0"/>
        <w:jc w:val="both"/>
      </w:pPr>
      <w:r>
        <w:rPr>
          <w:rFonts w:ascii="Times New Roman"/>
          <w:b w:val="false"/>
          <w:i w:val="false"/>
          <w:color w:val="000000"/>
          <w:sz w:val="28"/>
        </w:rPr>
        <w:t>
      2) базового должностного оклада (далее – БДО), установленного постановлением;</w:t>
      </w:r>
    </w:p>
    <w:bookmarkEnd w:id="21"/>
    <w:bookmarkStart w:name="z110" w:id="22"/>
    <w:p>
      <w:pPr>
        <w:spacing w:after="0"/>
        <w:ind w:left="0"/>
        <w:jc w:val="both"/>
      </w:pPr>
      <w:r>
        <w:rPr>
          <w:rFonts w:ascii="Times New Roman"/>
          <w:b w:val="false"/>
          <w:i w:val="false"/>
          <w:color w:val="000000"/>
          <w:sz w:val="28"/>
        </w:rPr>
        <w:t>
      3) коэффициентов для исчисления должностных окладов специалистов, осуществляющих обращение с патогенными биологическими агентами I и II групп патогенности по функциональным блокам согласно коэффициентов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утвержденных постановлением;</w:t>
      </w:r>
    </w:p>
    <w:bookmarkEnd w:id="22"/>
    <w:bookmarkStart w:name="z111" w:id="23"/>
    <w:p>
      <w:pPr>
        <w:spacing w:after="0"/>
        <w:ind w:left="0"/>
        <w:jc w:val="both"/>
      </w:pPr>
      <w:r>
        <w:rPr>
          <w:rFonts w:ascii="Times New Roman"/>
          <w:b w:val="false"/>
          <w:i w:val="false"/>
          <w:color w:val="000000"/>
          <w:sz w:val="28"/>
        </w:rPr>
        <w:t>
      4) коэффициентов для исчисления должностных окладов (тарифных ставок) вспомогательного персонала (санитар (санитарка), дезинфектор, водитель) согласно коэффициентов для исчисления должностных окладов (тарифных ставок) рабочих, утвержденных постановлением;</w:t>
      </w:r>
    </w:p>
    <w:bookmarkEnd w:id="23"/>
    <w:bookmarkStart w:name="z112" w:id="24"/>
    <w:p>
      <w:pPr>
        <w:spacing w:after="0"/>
        <w:ind w:left="0"/>
        <w:jc w:val="both"/>
      </w:pPr>
      <w:r>
        <w:rPr>
          <w:rFonts w:ascii="Times New Roman"/>
          <w:b w:val="false"/>
          <w:i w:val="false"/>
          <w:color w:val="000000"/>
          <w:sz w:val="28"/>
        </w:rPr>
        <w:t>
      5) доплат для специалистов и вспомогательного персонала с учетом вредных и (или) опасных условий труда, повышенного риска приобретения профессиональных заболеваний согласно доплат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здравоохранения, утвержденных постановлением;</w:t>
      </w:r>
    </w:p>
    <w:bookmarkEnd w:id="24"/>
    <w:bookmarkStart w:name="z113" w:id="25"/>
    <w:p>
      <w:pPr>
        <w:spacing w:after="0"/>
        <w:ind w:left="0"/>
        <w:jc w:val="both"/>
      </w:pPr>
      <w:r>
        <w:rPr>
          <w:rFonts w:ascii="Times New Roman"/>
          <w:b w:val="false"/>
          <w:i w:val="false"/>
          <w:color w:val="000000"/>
          <w:sz w:val="28"/>
        </w:rPr>
        <w:t>
      6) единых доплат и надбавок для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согласно доплат и надбавок, единые для гражданских служащих, работников организаций, содержащихся за счет средств государственного бюджета, работников казенных предприятий, утвержденных постановлением;</w:t>
      </w:r>
    </w:p>
    <w:bookmarkEnd w:id="25"/>
    <w:bookmarkStart w:name="z114" w:id="26"/>
    <w:p>
      <w:pPr>
        <w:spacing w:after="0"/>
        <w:ind w:left="0"/>
        <w:jc w:val="both"/>
      </w:pPr>
      <w:r>
        <w:rPr>
          <w:rFonts w:ascii="Times New Roman"/>
          <w:b w:val="false"/>
          <w:i w:val="false"/>
          <w:color w:val="000000"/>
          <w:sz w:val="28"/>
        </w:rPr>
        <w:t>
      7) соответствующих поправочных коэффициентов для специалистов с медицинским и фармацевтическим образованием, предусмотренных постановлением;</w:t>
      </w:r>
    </w:p>
    <w:bookmarkEnd w:id="26"/>
    <w:bookmarkStart w:name="z115" w:id="27"/>
    <w:p>
      <w:pPr>
        <w:spacing w:after="0"/>
        <w:ind w:left="0"/>
        <w:jc w:val="both"/>
      </w:pPr>
      <w:r>
        <w:rPr>
          <w:rFonts w:ascii="Times New Roman"/>
          <w:b w:val="false"/>
          <w:i w:val="false"/>
          <w:color w:val="000000"/>
          <w:sz w:val="28"/>
        </w:rPr>
        <w:t xml:space="preserve">
      8) штатного расписания государственного предприятия,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типовой системе оплаты труда.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12.09.2023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Должностной оклад (далее – ДО)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определяется путем умножения соответствующих коэффициентов,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типовой системы оплаты труда, в зависимости от отнесения занимаемых должностей к функциональным блокам и стажа работы по специальности, присвоенных квалификационных разрядов на размер БДО, установленного </w:t>
      </w:r>
      <w:r>
        <w:rPr>
          <w:rFonts w:ascii="Times New Roman"/>
          <w:b w:val="false"/>
          <w:i w:val="false"/>
          <w:color w:val="000000"/>
          <w:sz w:val="28"/>
        </w:rPr>
        <w:t>подпунктом 2)</w:t>
      </w:r>
      <w:r>
        <w:rPr>
          <w:rFonts w:ascii="Times New Roman"/>
          <w:b w:val="false"/>
          <w:i w:val="false"/>
          <w:color w:val="000000"/>
          <w:sz w:val="28"/>
        </w:rPr>
        <w:t xml:space="preserve"> пункта 3 настоящей типовой системы оплаты труда.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12.09.2023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6. Конкретные размеры доплат и надбавок за условия труда для специалистов и вспомогательного персонала в пределах, установленных настоящей типовой системой оплатой труда, определяются отраслевым соглашением, коллективным договором и (или) актом работодателя в соответствии с Трудовым кодексом Республики Казахстан.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системе оплаты</w:t>
            </w:r>
            <w:r>
              <w:br/>
            </w:r>
            <w:r>
              <w:rPr>
                <w:rFonts w:ascii="Times New Roman"/>
                <w:b w:val="false"/>
                <w:i w:val="false"/>
                <w:color w:val="000000"/>
                <w:sz w:val="20"/>
              </w:rPr>
              <w:t>труда специалистов и</w:t>
            </w:r>
            <w:r>
              <w:br/>
            </w:r>
            <w:r>
              <w:rPr>
                <w:rFonts w:ascii="Times New Roman"/>
                <w:b w:val="false"/>
                <w:i w:val="false"/>
                <w:color w:val="000000"/>
                <w:sz w:val="20"/>
              </w:rPr>
              <w:t>вспомогательного персонала</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на праве хозяйственного </w:t>
            </w:r>
            <w:r>
              <w:br/>
            </w:r>
            <w:r>
              <w:rPr>
                <w:rFonts w:ascii="Times New Roman"/>
                <w:b w:val="false"/>
                <w:i w:val="false"/>
                <w:color w:val="000000"/>
                <w:sz w:val="20"/>
              </w:rPr>
              <w:t xml:space="preserve">ведения, осуществляющих </w:t>
            </w:r>
            <w:r>
              <w:br/>
            </w:r>
            <w:r>
              <w:rPr>
                <w:rFonts w:ascii="Times New Roman"/>
                <w:b w:val="false"/>
                <w:i w:val="false"/>
                <w:color w:val="000000"/>
                <w:sz w:val="20"/>
              </w:rPr>
              <w:t xml:space="preserve">обращение (выполняющих </w:t>
            </w:r>
            <w:r>
              <w:br/>
            </w:r>
            <w:r>
              <w:rPr>
                <w:rFonts w:ascii="Times New Roman"/>
                <w:b w:val="false"/>
                <w:i w:val="false"/>
                <w:color w:val="000000"/>
                <w:sz w:val="20"/>
              </w:rPr>
              <w:t>вспомогательную</w:t>
            </w:r>
            <w:r>
              <w:br/>
            </w:r>
            <w:r>
              <w:rPr>
                <w:rFonts w:ascii="Times New Roman"/>
                <w:b w:val="false"/>
                <w:i w:val="false"/>
                <w:color w:val="000000"/>
                <w:sz w:val="20"/>
              </w:rPr>
              <w:t>функцию при осуществлении</w:t>
            </w:r>
            <w:r>
              <w:br/>
            </w:r>
            <w:r>
              <w:rPr>
                <w:rFonts w:ascii="Times New Roman"/>
                <w:b w:val="false"/>
                <w:i w:val="false"/>
                <w:color w:val="000000"/>
                <w:sz w:val="20"/>
              </w:rPr>
              <w:t>обращения) с патогенными</w:t>
            </w:r>
            <w:r>
              <w:br/>
            </w:r>
            <w:r>
              <w:rPr>
                <w:rFonts w:ascii="Times New Roman"/>
                <w:b w:val="false"/>
                <w:i w:val="false"/>
                <w:color w:val="000000"/>
                <w:sz w:val="20"/>
              </w:rPr>
              <w:t>биологическими агентами</w:t>
            </w:r>
            <w:r>
              <w:br/>
            </w:r>
            <w:r>
              <w:rPr>
                <w:rFonts w:ascii="Times New Roman"/>
                <w:b w:val="false"/>
                <w:i w:val="false"/>
                <w:color w:val="000000"/>
                <w:sz w:val="20"/>
              </w:rPr>
              <w:t>I и II групп патогенности</w:t>
            </w:r>
          </w:p>
        </w:tc>
      </w:tr>
    </w:tbl>
    <w:bookmarkStart w:name="z52" w:id="30"/>
    <w:p>
      <w:pPr>
        <w:spacing w:after="0"/>
        <w:ind w:left="0"/>
        <w:jc w:val="left"/>
      </w:pPr>
      <w:r>
        <w:rPr>
          <w:rFonts w:ascii="Times New Roman"/>
          <w:b/>
          <w:i w:val="false"/>
          <w:color w:val="000000"/>
        </w:rPr>
        <w:t xml:space="preserve"> Классификация должностей специалистов, осуществляющих обращение с ПБА I и II групп патогенности и вспомогательного персонала, выполняющих вспомогательную функцию при осуществлении обращения с ПБА I и II групп патогенности</w:t>
      </w:r>
    </w:p>
    <w:bookmarkEnd w:id="30"/>
    <w:p>
      <w:pPr>
        <w:spacing w:after="0"/>
        <w:ind w:left="0"/>
        <w:jc w:val="both"/>
      </w:pPr>
      <w:r>
        <w:rPr>
          <w:rFonts w:ascii="Times New Roman"/>
          <w:b w:val="false"/>
          <w:i w:val="false"/>
          <w:color w:val="ff0000"/>
          <w:sz w:val="28"/>
        </w:rPr>
        <w:t xml:space="preserve">
      Сноска. Приложение 1 исключено приказом Министра здравоохранения РК от 12.09.2023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системе оплаты</w:t>
            </w:r>
            <w:r>
              <w:br/>
            </w:r>
            <w:r>
              <w:rPr>
                <w:rFonts w:ascii="Times New Roman"/>
                <w:b w:val="false"/>
                <w:i w:val="false"/>
                <w:color w:val="000000"/>
                <w:sz w:val="20"/>
              </w:rPr>
              <w:t>труда специалистов и</w:t>
            </w:r>
            <w:r>
              <w:br/>
            </w:r>
            <w:r>
              <w:rPr>
                <w:rFonts w:ascii="Times New Roman"/>
                <w:b w:val="false"/>
                <w:i w:val="false"/>
                <w:color w:val="000000"/>
                <w:sz w:val="20"/>
              </w:rPr>
              <w:t>вспомогательного персонала</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на праве хозяйственного </w:t>
            </w:r>
            <w:r>
              <w:br/>
            </w:r>
            <w:r>
              <w:rPr>
                <w:rFonts w:ascii="Times New Roman"/>
                <w:b w:val="false"/>
                <w:i w:val="false"/>
                <w:color w:val="000000"/>
                <w:sz w:val="20"/>
              </w:rPr>
              <w:t xml:space="preserve">ведения, осуществляющих </w:t>
            </w:r>
            <w:r>
              <w:br/>
            </w:r>
            <w:r>
              <w:rPr>
                <w:rFonts w:ascii="Times New Roman"/>
                <w:b w:val="false"/>
                <w:i w:val="false"/>
                <w:color w:val="000000"/>
                <w:sz w:val="20"/>
              </w:rPr>
              <w:t xml:space="preserve">обращение (выполняющих </w:t>
            </w:r>
            <w:r>
              <w:br/>
            </w:r>
            <w:r>
              <w:rPr>
                <w:rFonts w:ascii="Times New Roman"/>
                <w:b w:val="false"/>
                <w:i w:val="false"/>
                <w:color w:val="000000"/>
                <w:sz w:val="20"/>
              </w:rPr>
              <w:t>вспомогательную</w:t>
            </w:r>
            <w:r>
              <w:br/>
            </w:r>
            <w:r>
              <w:rPr>
                <w:rFonts w:ascii="Times New Roman"/>
                <w:b w:val="false"/>
                <w:i w:val="false"/>
                <w:color w:val="000000"/>
                <w:sz w:val="20"/>
              </w:rPr>
              <w:t>функцию при осуществлении</w:t>
            </w:r>
            <w:r>
              <w:br/>
            </w:r>
            <w:r>
              <w:rPr>
                <w:rFonts w:ascii="Times New Roman"/>
                <w:b w:val="false"/>
                <w:i w:val="false"/>
                <w:color w:val="000000"/>
                <w:sz w:val="20"/>
              </w:rPr>
              <w:t>обращения) с патогенными</w:t>
            </w:r>
            <w:r>
              <w:br/>
            </w:r>
            <w:r>
              <w:rPr>
                <w:rFonts w:ascii="Times New Roman"/>
                <w:b w:val="false"/>
                <w:i w:val="false"/>
                <w:color w:val="000000"/>
                <w:sz w:val="20"/>
              </w:rPr>
              <w:t>биологическими агентами</w:t>
            </w:r>
            <w:r>
              <w:br/>
            </w:r>
            <w:r>
              <w:rPr>
                <w:rFonts w:ascii="Times New Roman"/>
                <w:b w:val="false"/>
                <w:i w:val="false"/>
                <w:color w:val="000000"/>
                <w:sz w:val="20"/>
              </w:rPr>
              <w:t>I и II групп патогенности</w:t>
            </w:r>
          </w:p>
        </w:tc>
      </w:tr>
    </w:tbl>
    <w:bookmarkStart w:name="z79" w:id="31"/>
    <w:p>
      <w:pPr>
        <w:spacing w:after="0"/>
        <w:ind w:left="0"/>
        <w:jc w:val="left"/>
      </w:pPr>
      <w:r>
        <w:rPr>
          <w:rFonts w:ascii="Times New Roman"/>
          <w:b/>
          <w:i w:val="false"/>
          <w:color w:val="000000"/>
        </w:rPr>
        <w:t xml:space="preserve"> Коэффициенты для исчисления должностных окладов специалистов, осуществляющих обращение с патогенными биологическими агентами I и II групп патогенности по функциональным блокам</w:t>
      </w:r>
    </w:p>
    <w:bookmarkEnd w:id="31"/>
    <w:p>
      <w:pPr>
        <w:spacing w:after="0"/>
        <w:ind w:left="0"/>
        <w:jc w:val="both"/>
      </w:pPr>
      <w:r>
        <w:rPr>
          <w:rFonts w:ascii="Times New Roman"/>
          <w:b w:val="false"/>
          <w:i w:val="false"/>
          <w:color w:val="ff0000"/>
          <w:sz w:val="28"/>
        </w:rPr>
        <w:t xml:space="preserve">
      Сноска. Приложение 2 исключено приказом Министра здравоохранения РК от 12.09.2023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системе оплаты</w:t>
            </w:r>
            <w:r>
              <w:br/>
            </w:r>
            <w:r>
              <w:rPr>
                <w:rFonts w:ascii="Times New Roman"/>
                <w:b w:val="false"/>
                <w:i w:val="false"/>
                <w:color w:val="000000"/>
                <w:sz w:val="20"/>
              </w:rPr>
              <w:t>труда специалистов и</w:t>
            </w:r>
            <w:r>
              <w:br/>
            </w:r>
            <w:r>
              <w:rPr>
                <w:rFonts w:ascii="Times New Roman"/>
                <w:b w:val="false"/>
                <w:i w:val="false"/>
                <w:color w:val="000000"/>
                <w:sz w:val="20"/>
              </w:rPr>
              <w:t>вспомогательного персонала</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на праве хозяйственного </w:t>
            </w:r>
            <w:r>
              <w:br/>
            </w:r>
            <w:r>
              <w:rPr>
                <w:rFonts w:ascii="Times New Roman"/>
                <w:b w:val="false"/>
                <w:i w:val="false"/>
                <w:color w:val="000000"/>
                <w:sz w:val="20"/>
              </w:rPr>
              <w:t xml:space="preserve">ведения, осуществляющих </w:t>
            </w:r>
            <w:r>
              <w:br/>
            </w:r>
            <w:r>
              <w:rPr>
                <w:rFonts w:ascii="Times New Roman"/>
                <w:b w:val="false"/>
                <w:i w:val="false"/>
                <w:color w:val="000000"/>
                <w:sz w:val="20"/>
              </w:rPr>
              <w:t xml:space="preserve">обращение (выполняющих </w:t>
            </w:r>
            <w:r>
              <w:br/>
            </w:r>
            <w:r>
              <w:rPr>
                <w:rFonts w:ascii="Times New Roman"/>
                <w:b w:val="false"/>
                <w:i w:val="false"/>
                <w:color w:val="000000"/>
                <w:sz w:val="20"/>
              </w:rPr>
              <w:t>вспомогательную</w:t>
            </w:r>
            <w:r>
              <w:br/>
            </w:r>
            <w:r>
              <w:rPr>
                <w:rFonts w:ascii="Times New Roman"/>
                <w:b w:val="false"/>
                <w:i w:val="false"/>
                <w:color w:val="000000"/>
                <w:sz w:val="20"/>
              </w:rPr>
              <w:t>функцию при осуществлении</w:t>
            </w:r>
            <w:r>
              <w:br/>
            </w:r>
            <w:r>
              <w:rPr>
                <w:rFonts w:ascii="Times New Roman"/>
                <w:b w:val="false"/>
                <w:i w:val="false"/>
                <w:color w:val="000000"/>
                <w:sz w:val="20"/>
              </w:rPr>
              <w:t>обращения) с патогенными</w:t>
            </w:r>
            <w:r>
              <w:br/>
            </w:r>
            <w:r>
              <w:rPr>
                <w:rFonts w:ascii="Times New Roman"/>
                <w:b w:val="false"/>
                <w:i w:val="false"/>
                <w:color w:val="000000"/>
                <w:sz w:val="20"/>
              </w:rPr>
              <w:t>биологическими агентами</w:t>
            </w:r>
            <w:r>
              <w:br/>
            </w:r>
            <w:r>
              <w:rPr>
                <w:rFonts w:ascii="Times New Roman"/>
                <w:b w:val="false"/>
                <w:i w:val="false"/>
                <w:color w:val="000000"/>
                <w:sz w:val="20"/>
              </w:rPr>
              <w:t>I и II групп патогенности</w:t>
            </w:r>
          </w:p>
        </w:tc>
      </w:tr>
    </w:tbl>
    <w:bookmarkStart w:name="z81" w:id="32"/>
    <w:p>
      <w:pPr>
        <w:spacing w:after="0"/>
        <w:ind w:left="0"/>
        <w:jc w:val="left"/>
      </w:pPr>
      <w:r>
        <w:rPr>
          <w:rFonts w:ascii="Times New Roman"/>
          <w:b/>
          <w:i w:val="false"/>
          <w:color w:val="000000"/>
        </w:rPr>
        <w:t xml:space="preserve"> Коэффициенты для исчисления должностных окладов (тарифных ставок) вспомогательного персонала (санитар (санитарка), дезинфектор, водитель)</w:t>
      </w:r>
    </w:p>
    <w:bookmarkEnd w:id="32"/>
    <w:p>
      <w:pPr>
        <w:spacing w:after="0"/>
        <w:ind w:left="0"/>
        <w:jc w:val="both"/>
      </w:pPr>
      <w:r>
        <w:rPr>
          <w:rFonts w:ascii="Times New Roman"/>
          <w:b w:val="false"/>
          <w:i w:val="false"/>
          <w:color w:val="ff0000"/>
          <w:sz w:val="28"/>
        </w:rPr>
        <w:t xml:space="preserve">
      Сноска. Приложение 3 исключено приказом Министра здравоохранения РК от 12.09.2023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системе оплаты</w:t>
            </w:r>
            <w:r>
              <w:br/>
            </w:r>
            <w:r>
              <w:rPr>
                <w:rFonts w:ascii="Times New Roman"/>
                <w:b w:val="false"/>
                <w:i w:val="false"/>
                <w:color w:val="000000"/>
                <w:sz w:val="20"/>
              </w:rPr>
              <w:t>труда специалистов и</w:t>
            </w:r>
            <w:r>
              <w:br/>
            </w:r>
            <w:r>
              <w:rPr>
                <w:rFonts w:ascii="Times New Roman"/>
                <w:b w:val="false"/>
                <w:i w:val="false"/>
                <w:color w:val="000000"/>
                <w:sz w:val="20"/>
              </w:rPr>
              <w:t>вспомогательного персонала</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на праве хозяйственного </w:t>
            </w:r>
            <w:r>
              <w:br/>
            </w:r>
            <w:r>
              <w:rPr>
                <w:rFonts w:ascii="Times New Roman"/>
                <w:b w:val="false"/>
                <w:i w:val="false"/>
                <w:color w:val="000000"/>
                <w:sz w:val="20"/>
              </w:rPr>
              <w:t xml:space="preserve">ведения, осуществляющих </w:t>
            </w:r>
            <w:r>
              <w:br/>
            </w:r>
            <w:r>
              <w:rPr>
                <w:rFonts w:ascii="Times New Roman"/>
                <w:b w:val="false"/>
                <w:i w:val="false"/>
                <w:color w:val="000000"/>
                <w:sz w:val="20"/>
              </w:rPr>
              <w:t xml:space="preserve">обращение (выполняющих </w:t>
            </w:r>
            <w:r>
              <w:br/>
            </w:r>
            <w:r>
              <w:rPr>
                <w:rFonts w:ascii="Times New Roman"/>
                <w:b w:val="false"/>
                <w:i w:val="false"/>
                <w:color w:val="000000"/>
                <w:sz w:val="20"/>
              </w:rPr>
              <w:t>вспомогательную</w:t>
            </w:r>
            <w:r>
              <w:br/>
            </w:r>
            <w:r>
              <w:rPr>
                <w:rFonts w:ascii="Times New Roman"/>
                <w:b w:val="false"/>
                <w:i w:val="false"/>
                <w:color w:val="000000"/>
                <w:sz w:val="20"/>
              </w:rPr>
              <w:t>функцию при осуществлении</w:t>
            </w:r>
            <w:r>
              <w:br/>
            </w:r>
            <w:r>
              <w:rPr>
                <w:rFonts w:ascii="Times New Roman"/>
                <w:b w:val="false"/>
                <w:i w:val="false"/>
                <w:color w:val="000000"/>
                <w:sz w:val="20"/>
              </w:rPr>
              <w:t>обращения) с патогенными</w:t>
            </w:r>
            <w:r>
              <w:br/>
            </w:r>
            <w:r>
              <w:rPr>
                <w:rFonts w:ascii="Times New Roman"/>
                <w:b w:val="false"/>
                <w:i w:val="false"/>
                <w:color w:val="000000"/>
                <w:sz w:val="20"/>
              </w:rPr>
              <w:t>биологическими агентами</w:t>
            </w:r>
            <w:r>
              <w:br/>
            </w:r>
            <w:r>
              <w:rPr>
                <w:rFonts w:ascii="Times New Roman"/>
                <w:b w:val="false"/>
                <w:i w:val="false"/>
                <w:color w:val="000000"/>
                <w:sz w:val="20"/>
              </w:rPr>
              <w:t>I и II групп патогенности</w:t>
            </w:r>
          </w:p>
        </w:tc>
      </w:tr>
    </w:tbl>
    <w:bookmarkStart w:name="z85" w:id="33"/>
    <w:p>
      <w:pPr>
        <w:spacing w:after="0"/>
        <w:ind w:left="0"/>
        <w:jc w:val="left"/>
      </w:pPr>
      <w:r>
        <w:rPr>
          <w:rFonts w:ascii="Times New Roman"/>
          <w:b/>
          <w:i w:val="false"/>
          <w:color w:val="000000"/>
        </w:rPr>
        <w:t xml:space="preserve"> Единые доплаты и надбавки для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33"/>
    <w:p>
      <w:pPr>
        <w:spacing w:after="0"/>
        <w:ind w:left="0"/>
        <w:jc w:val="both"/>
      </w:pPr>
      <w:r>
        <w:rPr>
          <w:rFonts w:ascii="Times New Roman"/>
          <w:b w:val="false"/>
          <w:i w:val="false"/>
          <w:color w:val="ff0000"/>
          <w:sz w:val="28"/>
        </w:rPr>
        <w:t xml:space="preserve">
      Сноска. Приложение 4 исключено приказом Министра здравоохранения РК от 12.09.2023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системе оплаты</w:t>
            </w:r>
            <w:r>
              <w:br/>
            </w:r>
            <w:r>
              <w:rPr>
                <w:rFonts w:ascii="Times New Roman"/>
                <w:b w:val="false"/>
                <w:i w:val="false"/>
                <w:color w:val="000000"/>
                <w:sz w:val="20"/>
              </w:rPr>
              <w:t>труда специалистов и</w:t>
            </w:r>
            <w:r>
              <w:br/>
            </w:r>
            <w:r>
              <w:rPr>
                <w:rFonts w:ascii="Times New Roman"/>
                <w:b w:val="false"/>
                <w:i w:val="false"/>
                <w:color w:val="000000"/>
                <w:sz w:val="20"/>
              </w:rPr>
              <w:t>вспомогательного персонала</w:t>
            </w:r>
            <w:r>
              <w:br/>
            </w:r>
            <w:r>
              <w:rPr>
                <w:rFonts w:ascii="Times New Roman"/>
                <w:b w:val="false"/>
                <w:i w:val="false"/>
                <w:color w:val="000000"/>
                <w:sz w:val="20"/>
              </w:rPr>
              <w:t>государственных предприятий</w:t>
            </w:r>
            <w:r>
              <w:br/>
            </w:r>
            <w:r>
              <w:rPr>
                <w:rFonts w:ascii="Times New Roman"/>
                <w:b w:val="false"/>
                <w:i w:val="false"/>
                <w:color w:val="000000"/>
                <w:sz w:val="20"/>
              </w:rPr>
              <w:t xml:space="preserve">на праве хозяйственного </w:t>
            </w:r>
            <w:r>
              <w:br/>
            </w:r>
            <w:r>
              <w:rPr>
                <w:rFonts w:ascii="Times New Roman"/>
                <w:b w:val="false"/>
                <w:i w:val="false"/>
                <w:color w:val="000000"/>
                <w:sz w:val="20"/>
              </w:rPr>
              <w:t xml:space="preserve">ведения, осуществляющих </w:t>
            </w:r>
            <w:r>
              <w:br/>
            </w:r>
            <w:r>
              <w:rPr>
                <w:rFonts w:ascii="Times New Roman"/>
                <w:b w:val="false"/>
                <w:i w:val="false"/>
                <w:color w:val="000000"/>
                <w:sz w:val="20"/>
              </w:rPr>
              <w:t xml:space="preserve">обращение (выполняющих </w:t>
            </w:r>
            <w:r>
              <w:br/>
            </w:r>
            <w:r>
              <w:rPr>
                <w:rFonts w:ascii="Times New Roman"/>
                <w:b w:val="false"/>
                <w:i w:val="false"/>
                <w:color w:val="000000"/>
                <w:sz w:val="20"/>
              </w:rPr>
              <w:t>вспомогательную</w:t>
            </w:r>
            <w:r>
              <w:br/>
            </w:r>
            <w:r>
              <w:rPr>
                <w:rFonts w:ascii="Times New Roman"/>
                <w:b w:val="false"/>
                <w:i w:val="false"/>
                <w:color w:val="000000"/>
                <w:sz w:val="20"/>
              </w:rPr>
              <w:t>функцию при осуществлении</w:t>
            </w:r>
            <w:r>
              <w:br/>
            </w:r>
            <w:r>
              <w:rPr>
                <w:rFonts w:ascii="Times New Roman"/>
                <w:b w:val="false"/>
                <w:i w:val="false"/>
                <w:color w:val="000000"/>
                <w:sz w:val="20"/>
              </w:rPr>
              <w:t>обращения) с патогенными</w:t>
            </w:r>
            <w:r>
              <w:br/>
            </w:r>
            <w:r>
              <w:rPr>
                <w:rFonts w:ascii="Times New Roman"/>
                <w:b w:val="false"/>
                <w:i w:val="false"/>
                <w:color w:val="000000"/>
                <w:sz w:val="20"/>
              </w:rPr>
              <w:t>биологическими агентами</w:t>
            </w:r>
            <w:r>
              <w:br/>
            </w:r>
            <w:r>
              <w:rPr>
                <w:rFonts w:ascii="Times New Roman"/>
                <w:b w:val="false"/>
                <w:i w:val="false"/>
                <w:color w:val="000000"/>
                <w:sz w:val="20"/>
              </w:rPr>
              <w:t>I и II групп патогенности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34"/>
    <w:p>
      <w:pPr>
        <w:spacing w:after="0"/>
        <w:ind w:left="0"/>
        <w:jc w:val="left"/>
      </w:pPr>
      <w:r>
        <w:rPr>
          <w:rFonts w:ascii="Times New Roman"/>
          <w:b/>
          <w:i w:val="false"/>
          <w:color w:val="000000"/>
        </w:rPr>
        <w:t xml:space="preserve"> Штатное расписание государственного предприятия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Структурное подразделение/должность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штатных единиц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структурному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предприятию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