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7da1" w14:textId="1177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29 мая 2020 года № 156 "Об утверждении Правил оказания государственной услуги "Выдача лицензии на туристскую операторскую деятельность (туроператорская деятельность)"</w:t>
      </w:r>
    </w:p>
    <w:p>
      <w:pPr>
        <w:spacing w:after="0"/>
        <w:ind w:left="0"/>
        <w:jc w:val="both"/>
      </w:pPr>
      <w:r>
        <w:rPr>
          <w:rFonts w:ascii="Times New Roman"/>
          <w:b w:val="false"/>
          <w:i w:val="false"/>
          <w:color w:val="000000"/>
          <w:sz w:val="28"/>
        </w:rPr>
        <w:t>Приказ Министра культуры и спорта Республики Казахстан от 5 декабря 2022 года № 351. Зарегистрирован в Министерстве юстиции Республики Казахстан 6 декабря 2022 года № 30981</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156 "Об утверждении Правил оказания государственной услуги "Выдача лицензии на туристскую операторскую деятельность (туроператорская деятельность)" (зарегистрирован в Реестре государственной регистрации нормативных правовых актов за № 20783)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туристскую операторскую деятельность (туроператорская деятельность)",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 w:id="1"/>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Астаны, Алматы и Шымкента (далее – услугодатель) юридическим и физическим лицам (далее – услугополучатель) в соответствии с настоящими Правилами.</w:t>
      </w:r>
    </w:p>
    <w:bookmarkEnd w:id="1"/>
    <w:bookmarkStart w:name="z11" w:id="2"/>
    <w:p>
      <w:pPr>
        <w:spacing w:after="0"/>
        <w:ind w:left="0"/>
        <w:jc w:val="both"/>
      </w:pPr>
      <w:r>
        <w:rPr>
          <w:rFonts w:ascii="Times New Roman"/>
          <w:b w:val="false"/>
          <w:i w:val="false"/>
          <w:color w:val="000000"/>
          <w:sz w:val="28"/>
        </w:rPr>
        <w:t>
      3. Для получения государственной услуги услугополучатели направляют услугодателю через веб-портал "электронного правительства" www.egov.kz, www.elicense.kz (далее – портал) документы, согласно пункту 8 перечня основных требований к оказанию государственной услуги "Выдача лицензии на туристскую операторскую деятельность (туроператорская деятельность)" (далее – Перечень) в соответствии с приложением 1 настоящих Правил.</w:t>
      </w:r>
    </w:p>
    <w:bookmarkEnd w:id="2"/>
    <w:bookmarkStart w:name="z12" w:id="3"/>
    <w:p>
      <w:pPr>
        <w:spacing w:after="0"/>
        <w:ind w:left="0"/>
        <w:jc w:val="both"/>
      </w:pPr>
      <w:r>
        <w:rPr>
          <w:rFonts w:ascii="Times New Roman"/>
          <w:b w:val="false"/>
          <w:i w:val="false"/>
          <w:color w:val="000000"/>
          <w:sz w:val="28"/>
        </w:rPr>
        <w:t>
      Основные требования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w:t>
      </w:r>
    </w:p>
    <w:bookmarkEnd w:id="3"/>
    <w:bookmarkStart w:name="z13" w:id="4"/>
    <w:p>
      <w:pPr>
        <w:spacing w:after="0"/>
        <w:ind w:left="0"/>
        <w:jc w:val="both"/>
      </w:pPr>
      <w:r>
        <w:rPr>
          <w:rFonts w:ascii="Times New Roman"/>
          <w:b w:val="false"/>
          <w:i w:val="false"/>
          <w:color w:val="000000"/>
          <w:sz w:val="28"/>
        </w:rPr>
        <w:t>
      Уполномоченный орган в области туристской деятельности направляет информацию о порядке оказания государственной услуги и о внесенных изменениях и дополнениях в настоящие Правила в Единый контакт-центр, оператору информационно-коммуникационной инфраструктуры "электронного правительства", а также услугодателям в течение 3 (трех) рабочих дней после государственной регистрации в органах юстиции соответствующего нормативного правового акта.";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5" w:id="5"/>
    <w:p>
      <w:pPr>
        <w:spacing w:after="0"/>
        <w:ind w:left="0"/>
        <w:jc w:val="both"/>
      </w:pPr>
      <w:r>
        <w:rPr>
          <w:rFonts w:ascii="Times New Roman"/>
          <w:b w:val="false"/>
          <w:i w:val="false"/>
          <w:color w:val="000000"/>
          <w:sz w:val="28"/>
        </w:rPr>
        <w:t>
      "5.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услугодателя (далее – сотрудник услугодателя).</w:t>
      </w:r>
    </w:p>
    <w:bookmarkEnd w:id="5"/>
    <w:bookmarkStart w:name="z16" w:id="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6"/>
    <w:bookmarkStart w:name="z17" w:id="7"/>
    <w:p>
      <w:pPr>
        <w:spacing w:after="0"/>
        <w:ind w:left="0"/>
        <w:jc w:val="both"/>
      </w:pPr>
      <w:r>
        <w:rPr>
          <w:rFonts w:ascii="Times New Roman"/>
          <w:b w:val="false"/>
          <w:i w:val="false"/>
          <w:color w:val="000000"/>
          <w:sz w:val="28"/>
        </w:rPr>
        <w:t>
      Сотрудник услугодателя в течение двух рабочих дней с момента регистрации документов проверяет полноту представленных документов.</w:t>
      </w:r>
    </w:p>
    <w:bookmarkEnd w:id="7"/>
    <w:bookmarkStart w:name="z18" w:id="8"/>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индивидуального предпринимателя, государственной регистрации (перерегистрации) юридического лица,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"электронного правительства".</w:t>
      </w:r>
    </w:p>
    <w:bookmarkEnd w:id="8"/>
    <w:bookmarkStart w:name="z19" w:id="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сотрудник услугодателя в течение 2 (двух) рабочих дней со дня регистрации представленных документов готовит мотивированный отказ в дальнейшем рассмотрении заявления в форме электронного документа, подписанный электронной цифровой подписью (далее – ЭЦП) руководителя услугодателя, и направляет услугополучателю в личный кабинет портала.</w:t>
      </w:r>
    </w:p>
    <w:bookmarkEnd w:id="9"/>
    <w:bookmarkStart w:name="z20" w:id="1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Start w:name="z22" w:id="11"/>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Для получения лицензии и (или) приложения к лицензии услугополучатель представляет полный пакет документов, указанных в пункте 8 Перечня. Сотрудник услугодателя в течение 6 (шести) рабочих дней рассматривает представленные документы на соответствие услугополучателя квалификационным требованиям, предъявляемым к туристской операторской деятельности и перечню документов, подтверждающему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79 (зарегистрирован в Реестре государственной регистрации нормативных правовых актов под № 10484) (далее – квалификационные требования). При соответствии услугополучателя квалификационным требованиям, сотрудник услугодателя в указанный срок формирует лицензию и (или) приложение к лицензии, в случае не соответствия квалификационным требованиям и по основаниям, предусмотренным пунктом 9 Перечня, готовит мотивированный отказ в дальнейшем рассмотрении заявления в форме электронного документа, подписанный ЭЦП руководителя услугодателя, и направляет услугополучателю в личный кабинет портала.</w:t>
      </w:r>
    </w:p>
    <w:bookmarkStart w:name="z24" w:id="1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2"/>
    <w:bookmarkStart w:name="z25" w:id="13"/>
    <w:p>
      <w:pPr>
        <w:spacing w:after="0"/>
        <w:ind w:left="0"/>
        <w:jc w:val="both"/>
      </w:pPr>
      <w:r>
        <w:rPr>
          <w:rFonts w:ascii="Times New Roman"/>
          <w:b w:val="false"/>
          <w:i w:val="false"/>
          <w:color w:val="000000"/>
          <w:sz w:val="28"/>
        </w:rPr>
        <w:t>
      7. Для переоформления лицензии и (или) приложения к лицензии в случаях реорганизации юридического лица-лицензиата в формах выделения и разделения услугополучатель предоставляет полный пакет документов, указанных в пункте 8 Перечня. Сотрудник услугодателя в течение 6 (шести) рабочих дней рассматривает представленные документы на соответствие квалификационным требованиям. В случае соответствия услугополучателя квалификационным требованиям сотрудник услугодателя в указанный срок переоформляет лицензию и (или) приложение к лицензии, в случае не соответствия квалификационным требованиям и по основаниям, предусмотренным пунктом 9 Перечня, готовит мотивированный отказ в дальнейшем рассмотрении заявления в форме электронного документа, подписанного ЭЦП руководителя услугодателя, и направляет услугополучателю в личный кабинет портала.</w:t>
      </w:r>
    </w:p>
    <w:bookmarkEnd w:id="13"/>
    <w:bookmarkStart w:name="z26" w:id="14"/>
    <w:p>
      <w:pPr>
        <w:spacing w:after="0"/>
        <w:ind w:left="0"/>
        <w:jc w:val="both"/>
      </w:pPr>
      <w:r>
        <w:rPr>
          <w:rFonts w:ascii="Times New Roman"/>
          <w:b w:val="false"/>
          <w:i w:val="false"/>
          <w:color w:val="000000"/>
          <w:sz w:val="28"/>
        </w:rPr>
        <w:t>
      При переоформлении лицензии и (или) приложения к лицензии, кроме случаев реорганизации юридического лица-лицензиата в формах выделения и разделения, сотрудник услугодателя не проверяет на соответствие услугополучателя квалификационным требованиям и в течение 3 (трех) рабочих дней переоформляет лицензию и (или) приложение к лицензии.</w:t>
      </w:r>
    </w:p>
    <w:bookmarkEnd w:id="14"/>
    <w:bookmarkStart w:name="z27" w:id="15"/>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 w:id="16"/>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6"/>
    <w:bookmarkStart w:name="z30" w:id="1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
    <w:bookmarkStart w:name="z31" w:id="1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8"/>
    <w:bookmarkStart w:name="z32" w:id="1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Start w:name="z34" w:id="2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Start w:name="z36" w:id="21"/>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"Выдача лицензии на туристскую операторскую деятельность (туроператорская деятельность)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8" w:id="22"/>
    <w:p>
      <w:pPr>
        <w:spacing w:after="0"/>
        <w:ind w:left="0"/>
        <w:jc w:val="both"/>
      </w:pPr>
      <w:r>
        <w:rPr>
          <w:rFonts w:ascii="Times New Roman"/>
          <w:b w:val="false"/>
          <w:i w:val="false"/>
          <w:color w:val="000000"/>
          <w:sz w:val="28"/>
        </w:rPr>
        <w:t>
      2.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w:t>
      </w:r>
    </w:p>
    <w:bookmarkEnd w:id="22"/>
    <w:bookmarkStart w:name="z39"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40" w:id="2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24"/>
    <w:bookmarkStart w:name="z41" w:id="2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25"/>
    <w:bookmarkStart w:name="z42" w:id="2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26"/>
    <w:bookmarkStart w:name="z43" w:id="2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w:t>
            </w: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декабря 2022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лицензии на туристскую</w:t>
            </w:r>
            <w:r>
              <w:br/>
            </w:r>
            <w:r>
              <w:rPr>
                <w:rFonts w:ascii="Times New Roman"/>
                <w:b w:val="false"/>
                <w:i w:val="false"/>
                <w:color w:val="000000"/>
                <w:sz w:val="20"/>
              </w:rPr>
              <w:t>операторскую деятельность</w:t>
            </w:r>
            <w:r>
              <w:br/>
            </w:r>
            <w:r>
              <w:rPr>
                <w:rFonts w:ascii="Times New Roman"/>
                <w:b w:val="false"/>
                <w:i w:val="false"/>
                <w:color w:val="000000"/>
                <w:sz w:val="20"/>
              </w:rPr>
              <w:t>(туроператорская деятельность)"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туристскую операторскую деятельность (туроператорская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в сфере выездного туризма</w:t>
            </w:r>
          </w:p>
          <w:bookmarkEnd w:id="28"/>
          <w:p>
            <w:pPr>
              <w:spacing w:after="20"/>
              <w:ind w:left="20"/>
              <w:jc w:val="both"/>
            </w:pPr>
            <w:r>
              <w:rPr>
                <w:rFonts w:ascii="Times New Roman"/>
                <w:b w:val="false"/>
                <w:i w:val="false"/>
                <w:color w:val="000000"/>
                <w:sz w:val="20"/>
              </w:rPr>
              <w:t>
в сфере въездного и внутреннего туризма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По всем подвидам:</w:t>
            </w:r>
          </w:p>
          <w:bookmarkEnd w:id="29"/>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в сфере выездного туризма – срок оказания государственной услуги с момента обращения на портал:</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лицензии и (или) приложения к лицензии – не позднее 6 (шести)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лицензии и (или) приложения к лицензии –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лицензии и (или) приложения к лицензии при реорганизации путем выделения или разделения юридического лица-лицензиата от другого юридического лица – не позднее 6 (шести)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сфере въездного и внутреннего туризма – срок оказания государственной услуги с момента обращения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лицензии и (или) приложения к лицензии – не позднее 6 (шести)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лицензии и (или) приложения к лицензии – в течение 3 (трех) рабочих дней;</w:t>
            </w:r>
          </w:p>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путем выделения или разделения юридического лица-лицензиата от другого юридического лица – не позднее 6 (шести)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По всем подвидам:</w:t>
            </w:r>
          </w:p>
          <w:bookmarkEnd w:id="31"/>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По подвидам:</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Лицензия и (или) приложение к лицензии, переоформленная лицензия и (или) приложение к лицензии на туристскую операторскую деятельность (туроператорская деятельность) в сфере выездного туризма, либо мотивированный ответ об отказе в оказании государственной услуги в случаях и по основаниям, предусмотренным настоящим Перечнем. </w:t>
            </w:r>
          </w:p>
          <w:p>
            <w:pPr>
              <w:spacing w:after="20"/>
              <w:ind w:left="20"/>
              <w:jc w:val="both"/>
            </w:pPr>
            <w:r>
              <w:rPr>
                <w:rFonts w:ascii="Times New Roman"/>
                <w:b w:val="false"/>
                <w:i w:val="false"/>
                <w:color w:val="000000"/>
                <w:sz w:val="20"/>
              </w:rPr>
              <w:t>
Лицензия и (или) приложение к лицензии, переоформленная лицензия и (или) приложение к лицензии на туристскую операторскую деятельность (туроператорская деятельность) в сфере въездного и внутреннего туризма, либо мотивированный ответ об отказе в оказании государственной услуги в случаях и по основаниям, предусмотренным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лицам (далее – услугополучатель).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554 Кодекса Республики Казахстан "О налогах и других обязательных платежах в бюджет" (Налоговый кодекс):</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туроператорской деятельностью составляет 10 месячных расчетных показателей (далее – МРП);</w:t>
            </w:r>
          </w:p>
          <w:p>
            <w:pPr>
              <w:spacing w:after="20"/>
              <w:ind w:left="20"/>
              <w:jc w:val="both"/>
            </w:pPr>
            <w:r>
              <w:rPr>
                <w:rFonts w:ascii="Times New Roman"/>
                <w:b w:val="false"/>
                <w:i w:val="false"/>
                <w:color w:val="000000"/>
                <w:sz w:val="20"/>
              </w:rPr>
              <w:t>
2) лицензионный сбор за переоформление лицензии составляет 10 % от ставки при выдаче лицензии, но не более 4 МРП; 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портал.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для получения лицензии и (или) приложения к лицензии: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юридического лица для получения лицензии и (или) приложения к лицензии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настоящих Правил или заявление физического лица для получения лицензии и (или) приложения к лицензии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настоящих Правил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подтверждающая уплату лицензионного сбора, за исключением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форма сведений о соответствии квалификационным требованиям, предъявляемым к туристской операторской деятельности и перечню документов, подтверждающих соответствие им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 и (или) приложения к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юридического лица для переоформления лицензии и (или) приложения к лицензии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настоящих Правил и заявление физического лица для переоформления лицензии и (или) приложения к лицензии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настоящих Правил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подтверждающий уплату лицензионного сбора за переоформление лицензии и (или) приложения к лицензии, за исключением случаев оплаты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документа, содержащего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(в результате реорганизации в форме выделения);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форма сведений о соответствии квалификационным требованиям, предъявляемым к туристской операторской деятельности и перечню документов, подтверждающих соответствие им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лицензии и (или) приложения к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w:t>
            </w:r>
          </w:p>
          <w:p>
            <w:pPr>
              <w:spacing w:after="20"/>
              <w:ind w:left="20"/>
              <w:jc w:val="both"/>
            </w:pPr>
            <w:r>
              <w:rPr>
                <w:rFonts w:ascii="Times New Roman"/>
                <w:b w:val="false"/>
                <w:i w:val="false"/>
                <w:color w:val="000000"/>
                <w:sz w:val="20"/>
              </w:rPr>
              <w:t>
Сведения о документе, удостоверяющем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1) занятие туроператорской деятельностью запрещено законами Республики Казахстан для данной категории услугополучателя;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приостановлении или запрещении туроператорской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судом на основании представления судебного исполнителя временно запрещено выдавать услугополучателю-должнику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несоответствия услугополучателя квалификационным требованиям (по основанию реорганизации юридического лица в форме разделения или выделения);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если ранее лицензия была переоформлена на другое юридическое лицо из числа вновь возникших в результате разделения или выделения юридических лиц-лицензиатов (по основанию реорганизации юридического лица в форме разделения или выделения);</w:t>
            </w:r>
          </w:p>
          <w:p>
            <w:pPr>
              <w:spacing w:after="20"/>
              <w:ind w:left="20"/>
              <w:jc w:val="both"/>
            </w:pPr>
            <w:r>
              <w:rPr>
                <w:rFonts w:ascii="Times New Roman"/>
                <w:b w:val="false"/>
                <w:i w:val="false"/>
                <w:color w:val="000000"/>
                <w:sz w:val="20"/>
              </w:rPr>
              <w:t xml:space="preserve">
9)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6"/>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36"/>
          <w:p>
            <w:pPr>
              <w:spacing w:after="20"/>
              <w:ind w:left="20"/>
              <w:jc w:val="both"/>
            </w:pPr>
            <w:r>
              <w:rPr>
                <w:rFonts w:ascii="Times New Roman"/>
                <w:b w:val="false"/>
                <w:i w:val="false"/>
                <w:color w:val="000000"/>
                <w:sz w:val="20"/>
              </w:rPr>
              <w:t>
Контактные телефоны справочных служб Министерства культуры и спорта Республики Казахстан по вопросам оказания государственной услуги: 8 (7172) 74 17 34, единый контакт-центр по вопросам оказания государственных услуг: 1414, 8 800 080 77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