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daa5" w14:textId="d5cd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национальной безопасности Республики Казахстан от 27 марта 2018 года № 25/нс "Об утверждении Правил функционирования системы централизованного управления сетями телекоммуникаций Республики Казахстан"</w:t>
      </w:r>
    </w:p>
    <w:p>
      <w:pPr>
        <w:spacing w:after="0"/>
        <w:ind w:left="0"/>
        <w:jc w:val="both"/>
      </w:pPr>
      <w:r>
        <w:rPr>
          <w:rFonts w:ascii="Times New Roman"/>
          <w:b w:val="false"/>
          <w:i w:val="false"/>
          <w:color w:val="000000"/>
          <w:sz w:val="28"/>
        </w:rPr>
        <w:t>Приказ и.о. Председателя Комитета национальной безопасности Республики Казахстан от 30 ноября 2022 года № 90/қе. Зарегистрирован в Министерстве юстиции Республики Казахстан 6 декабря 2022 года № 30986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27 марта 2018 года № 25/нс "Об утверждении Правил функционирования системы централизованного управления сетями телекоммуникаций Республики Казахстан" (зарегистрирован в Реестре государственной регистрации нормативных правовых актов под № 16783)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Республики Казахстан "О связи" </w:t>
      </w:r>
      <w:r>
        <w:rPr>
          <w:rFonts w:ascii="Times New Roman"/>
          <w:b/>
          <w:i w:val="false"/>
          <w:color w:val="000000"/>
          <w:sz w:val="28"/>
        </w:rPr>
        <w:t>ПРИКАЗЫВАЮ:";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функционирования системы централизованного управления сетями телекоммуникаций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9" w:id="3"/>
    <w:p>
      <w:pPr>
        <w:spacing w:after="0"/>
        <w:ind w:left="0"/>
        <w:jc w:val="both"/>
      </w:pPr>
      <w:r>
        <w:rPr>
          <w:rFonts w:ascii="Times New Roman"/>
          <w:b w:val="false"/>
          <w:i w:val="false"/>
          <w:color w:val="000000"/>
          <w:sz w:val="28"/>
        </w:rPr>
        <w:t>
      2. 5 Службе Комитета национальной безопасности Республики Казахстан (Дарменов Б. Д.)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мероприятия, предусмотренного подпунктом 1) настоящего пункта.</w:t>
      </w:r>
    </w:p>
    <w:bookmarkEnd w:id="5"/>
    <w:bookmarkStart w:name="z12"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Комитета национальной безопасности РК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Билисбеков</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ВрИО Председателя Комитета</w:t>
            </w:r>
            <w:r>
              <w:br/>
            </w:r>
            <w:r>
              <w:rPr>
                <w:rFonts w:ascii="Times New Roman"/>
                <w:b w:val="false"/>
                <w:i w:val="false"/>
                <w:color w:val="000000"/>
                <w:sz w:val="20"/>
              </w:rPr>
              <w:t>национальной безопасности РК</w:t>
            </w:r>
            <w:r>
              <w:br/>
            </w:r>
            <w:r>
              <w:rPr>
                <w:rFonts w:ascii="Times New Roman"/>
                <w:b w:val="false"/>
                <w:i w:val="false"/>
                <w:color w:val="000000"/>
                <w:sz w:val="20"/>
              </w:rPr>
              <w:t>от 30 ноября 2022 года № 90/қе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2018 года № 25/нс</w:t>
            </w:r>
          </w:p>
        </w:tc>
      </w:tr>
    </w:tbl>
    <w:bookmarkStart w:name="z17" w:id="8"/>
    <w:p>
      <w:pPr>
        <w:spacing w:after="0"/>
        <w:ind w:left="0"/>
        <w:jc w:val="left"/>
      </w:pPr>
      <w:r>
        <w:rPr>
          <w:rFonts w:ascii="Times New Roman"/>
          <w:b/>
          <w:i w:val="false"/>
          <w:color w:val="000000"/>
        </w:rPr>
        <w:t xml:space="preserve"> Правила функционирования системы централизованного управления сетями телекоммуникаций Республики Казахстан</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both"/>
      </w:pPr>
      <w:r>
        <w:rPr>
          <w:rFonts w:ascii="Times New Roman"/>
          <w:b w:val="false"/>
          <w:i w:val="false"/>
          <w:color w:val="000000"/>
          <w:sz w:val="28"/>
        </w:rPr>
        <w:t xml:space="preserve">
      1. Настоящие Правила функционирования системы централизованного управления сетями телекоммуникаций Республики Казахстан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Республики Казахстан "О связи" (далее – Закон) и определяют порядок функционирования системы централизованного управления сетями телекоммуникаций Республики Казахстан.</w:t>
      </w:r>
    </w:p>
    <w:bookmarkEnd w:id="10"/>
    <w:bookmarkStart w:name="z20" w:id="11"/>
    <w:p>
      <w:pPr>
        <w:spacing w:after="0"/>
        <w:ind w:left="0"/>
        <w:jc w:val="both"/>
      </w:pPr>
      <w:r>
        <w:rPr>
          <w:rFonts w:ascii="Times New Roman"/>
          <w:b w:val="false"/>
          <w:i w:val="false"/>
          <w:color w:val="000000"/>
          <w:sz w:val="28"/>
        </w:rPr>
        <w:t>
      2. Действие Правил распространяется на сети телекоммуникаций, составляющие единую сеть телекоммуникаций Республики Казахстан.</w:t>
      </w:r>
    </w:p>
    <w:bookmarkEnd w:id="11"/>
    <w:bookmarkStart w:name="z21" w:id="12"/>
    <w:p>
      <w:pPr>
        <w:spacing w:after="0"/>
        <w:ind w:left="0"/>
        <w:jc w:val="both"/>
      </w:pPr>
      <w:r>
        <w:rPr>
          <w:rFonts w:ascii="Times New Roman"/>
          <w:b w:val="false"/>
          <w:i w:val="false"/>
          <w:color w:val="000000"/>
          <w:sz w:val="28"/>
        </w:rPr>
        <w:t>
      3. В Правилах используются следующие определения:</w:t>
      </w:r>
    </w:p>
    <w:bookmarkEnd w:id="12"/>
    <w:bookmarkStart w:name="z22" w:id="13"/>
    <w:p>
      <w:pPr>
        <w:spacing w:after="0"/>
        <w:ind w:left="0"/>
        <w:jc w:val="both"/>
      </w:pPr>
      <w:r>
        <w:rPr>
          <w:rFonts w:ascii="Times New Roman"/>
          <w:b w:val="false"/>
          <w:i w:val="false"/>
          <w:color w:val="000000"/>
          <w:sz w:val="28"/>
        </w:rPr>
        <w:t xml:space="preserve">
      1) абонент – физическое или юридическое лицо, с которым заключен договор на оказание услуг связи; </w:t>
      </w:r>
    </w:p>
    <w:bookmarkEnd w:id="13"/>
    <w:bookmarkStart w:name="z23" w:id="14"/>
    <w:p>
      <w:pPr>
        <w:spacing w:after="0"/>
        <w:ind w:left="0"/>
        <w:jc w:val="both"/>
      </w:pPr>
      <w:r>
        <w:rPr>
          <w:rFonts w:ascii="Times New Roman"/>
          <w:b w:val="false"/>
          <w:i w:val="false"/>
          <w:color w:val="000000"/>
          <w:sz w:val="28"/>
        </w:rPr>
        <w:t>
      2)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14"/>
    <w:bookmarkStart w:name="z24" w:id="15"/>
    <w:p>
      <w:pPr>
        <w:spacing w:after="0"/>
        <w:ind w:left="0"/>
        <w:jc w:val="both"/>
      </w:pPr>
      <w:r>
        <w:rPr>
          <w:rFonts w:ascii="Times New Roman"/>
          <w:b w:val="false"/>
          <w:i w:val="false"/>
          <w:color w:val="000000"/>
          <w:sz w:val="28"/>
        </w:rPr>
        <w:t>
      3) интернет-трафик – объем информации, передаваемой и принимаемой через соединение с Интернетом за определенный период времени;</w:t>
      </w:r>
    </w:p>
    <w:bookmarkEnd w:id="15"/>
    <w:bookmarkStart w:name="z25" w:id="16"/>
    <w:p>
      <w:pPr>
        <w:spacing w:after="0"/>
        <w:ind w:left="0"/>
        <w:jc w:val="both"/>
      </w:pPr>
      <w:r>
        <w:rPr>
          <w:rFonts w:ascii="Times New Roman"/>
          <w:b w:val="false"/>
          <w:i w:val="false"/>
          <w:color w:val="000000"/>
          <w:sz w:val="28"/>
        </w:rPr>
        <w:t>
      4) система централизованного управления сетями телекоммуникаций Республики Казахстан (далее – система управления) – комплекс организационно-технических мероприятий по формированию управляющих параметров и контролю за их исполнением, включающий в себя аппаратно-программный комплекс и каналы связи для централизованного управления сетями телекоммуникаций;</w:t>
      </w:r>
    </w:p>
    <w:bookmarkEnd w:id="16"/>
    <w:bookmarkStart w:name="z26" w:id="17"/>
    <w:p>
      <w:pPr>
        <w:spacing w:after="0"/>
        <w:ind w:left="0"/>
        <w:jc w:val="both"/>
      </w:pPr>
      <w:r>
        <w:rPr>
          <w:rFonts w:ascii="Times New Roman"/>
          <w:b w:val="false"/>
          <w:i w:val="false"/>
          <w:color w:val="000000"/>
          <w:sz w:val="28"/>
        </w:rPr>
        <w:t>
      5) оператор междугородной связи – оператор фиксированной связи, владеющий и (или) эксплуатирующий междугородную линию связи, междугородные коммутационные станции и предоставляющий услуги междугородной телефонной связи;</w:t>
      </w:r>
    </w:p>
    <w:bookmarkEnd w:id="17"/>
    <w:bookmarkStart w:name="z27" w:id="18"/>
    <w:p>
      <w:pPr>
        <w:spacing w:after="0"/>
        <w:ind w:left="0"/>
        <w:jc w:val="both"/>
      </w:pPr>
      <w:r>
        <w:rPr>
          <w:rFonts w:ascii="Times New Roman"/>
          <w:b w:val="false"/>
          <w:i w:val="false"/>
          <w:color w:val="000000"/>
          <w:sz w:val="28"/>
        </w:rPr>
        <w:t>
      6) оператор междугородной и международной связи – оператор фиксированной связи, владеющий и (или) эксплуатирующий междугородные и международные линии связи, междугородные и международные коммутационные станции и предоставляющий услуги междугородной и международной телефонной связи по транзиту трафика и предоставлению сетевых ресурсов другим операторам связи;</w:t>
      </w:r>
    </w:p>
    <w:bookmarkEnd w:id="18"/>
    <w:bookmarkStart w:name="z28" w:id="19"/>
    <w:p>
      <w:pPr>
        <w:spacing w:after="0"/>
        <w:ind w:left="0"/>
        <w:jc w:val="both"/>
      </w:pPr>
      <w:r>
        <w:rPr>
          <w:rFonts w:ascii="Times New Roman"/>
          <w:b w:val="false"/>
          <w:i w:val="false"/>
          <w:color w:val="000000"/>
          <w:sz w:val="28"/>
        </w:rPr>
        <w:t>
      7) канал корреляции системы управления (далее – канал корреляции) – канал связи, соединяющий два узла системы управления и обеспечивающий передачу информации об ассиметричном трафике на сетях оператора связи;</w:t>
      </w:r>
    </w:p>
    <w:bookmarkEnd w:id="19"/>
    <w:bookmarkStart w:name="z29" w:id="20"/>
    <w:p>
      <w:pPr>
        <w:spacing w:after="0"/>
        <w:ind w:left="0"/>
        <w:jc w:val="both"/>
      </w:pPr>
      <w:r>
        <w:rPr>
          <w:rFonts w:ascii="Times New Roman"/>
          <w:b w:val="false"/>
          <w:i w:val="false"/>
          <w:color w:val="000000"/>
          <w:sz w:val="28"/>
        </w:rPr>
        <w:t>
      8) канал управления системы управления (далее – канал управления) – канал связи, соединяющий узел системы управления с центральным узлом и обеспечивающий передачу служебной информации (данные системы видеонаблюдения, статистические данные о состоянии трафика, сведения о параметрах управления, данные о состоянии инфраструктуры) между узлом и центром управления системы управления;</w:t>
      </w:r>
    </w:p>
    <w:bookmarkEnd w:id="20"/>
    <w:bookmarkStart w:name="z30" w:id="21"/>
    <w:p>
      <w:pPr>
        <w:spacing w:after="0"/>
        <w:ind w:left="0"/>
        <w:jc w:val="both"/>
      </w:pPr>
      <w:r>
        <w:rPr>
          <w:rFonts w:ascii="Times New Roman"/>
          <w:b w:val="false"/>
          <w:i w:val="false"/>
          <w:color w:val="000000"/>
          <w:sz w:val="28"/>
        </w:rPr>
        <w:t>
      9) внутренний контур системы управления – изолированная сеть связи, предназначенная для управления и функционирования системы управления;</w:t>
      </w:r>
    </w:p>
    <w:bookmarkEnd w:id="21"/>
    <w:bookmarkStart w:name="z31" w:id="22"/>
    <w:p>
      <w:pPr>
        <w:spacing w:after="0"/>
        <w:ind w:left="0"/>
        <w:jc w:val="both"/>
      </w:pPr>
      <w:r>
        <w:rPr>
          <w:rFonts w:ascii="Times New Roman"/>
          <w:b w:val="false"/>
          <w:i w:val="false"/>
          <w:color w:val="000000"/>
          <w:sz w:val="28"/>
        </w:rPr>
        <w:t>
      10) центральный узел системы управления – объект, на котором расположена подсистема управления системы управления;</w:t>
      </w:r>
    </w:p>
    <w:bookmarkEnd w:id="22"/>
    <w:bookmarkStart w:name="z32" w:id="23"/>
    <w:p>
      <w:pPr>
        <w:spacing w:after="0"/>
        <w:ind w:left="0"/>
        <w:jc w:val="both"/>
      </w:pPr>
      <w:r>
        <w:rPr>
          <w:rFonts w:ascii="Times New Roman"/>
          <w:b w:val="false"/>
          <w:i w:val="false"/>
          <w:color w:val="000000"/>
          <w:sz w:val="28"/>
        </w:rPr>
        <w:t>
      11) узел системы управления – объект, на котором расположено оборудование системы управления;</w:t>
      </w:r>
    </w:p>
    <w:bookmarkEnd w:id="23"/>
    <w:bookmarkStart w:name="z33" w:id="24"/>
    <w:p>
      <w:pPr>
        <w:spacing w:after="0"/>
        <w:ind w:left="0"/>
        <w:jc w:val="both"/>
      </w:pPr>
      <w:r>
        <w:rPr>
          <w:rFonts w:ascii="Times New Roman"/>
          <w:b w:val="false"/>
          <w:i w:val="false"/>
          <w:color w:val="000000"/>
          <w:sz w:val="28"/>
        </w:rPr>
        <w:t>
      12) пропуск трафика – осуществление процесса установления соединения и передачи информации между пользователями услугами связи (сетями телекоммуникаций);</w:t>
      </w:r>
    </w:p>
    <w:bookmarkEnd w:id="24"/>
    <w:bookmarkStart w:name="z34" w:id="25"/>
    <w:p>
      <w:pPr>
        <w:spacing w:after="0"/>
        <w:ind w:left="0"/>
        <w:jc w:val="both"/>
      </w:pPr>
      <w:r>
        <w:rPr>
          <w:rFonts w:ascii="Times New Roman"/>
          <w:b w:val="false"/>
          <w:i w:val="false"/>
          <w:color w:val="000000"/>
          <w:sz w:val="28"/>
        </w:rPr>
        <w:t>
      13) оператор международной связи – оператор фиксированной связи, владеющий и (или) эксплуатирующий международную линию связи, международную коммутационную станцию и предоставляющий услуги международной телефонной связи;</w:t>
      </w:r>
    </w:p>
    <w:bookmarkEnd w:id="25"/>
    <w:bookmarkStart w:name="z35" w:id="26"/>
    <w:p>
      <w:pPr>
        <w:spacing w:after="0"/>
        <w:ind w:left="0"/>
        <w:jc w:val="both"/>
      </w:pPr>
      <w:r>
        <w:rPr>
          <w:rFonts w:ascii="Times New Roman"/>
          <w:b w:val="false"/>
          <w:i w:val="false"/>
          <w:color w:val="000000"/>
          <w:sz w:val="28"/>
        </w:rPr>
        <w:t>
      14) международная точка стыка – средства телекоммуникаций, предназначенные для соединения международной коммутационной станции оператора международной связи Республики Казахстан с международными коммутационными станциями операторов связи других государств;</w:t>
      </w:r>
    </w:p>
    <w:bookmarkEnd w:id="26"/>
    <w:bookmarkStart w:name="z36" w:id="27"/>
    <w:p>
      <w:pPr>
        <w:spacing w:after="0"/>
        <w:ind w:left="0"/>
        <w:jc w:val="both"/>
      </w:pPr>
      <w:r>
        <w:rPr>
          <w:rFonts w:ascii="Times New Roman"/>
          <w:b w:val="false"/>
          <w:i w:val="false"/>
          <w:color w:val="000000"/>
          <w:sz w:val="28"/>
        </w:rPr>
        <w:t>
      15) зарубежные операторы связи – физические или юридические лица, оказывающие услуги связи за пределами Республики Казахстан.</w:t>
      </w:r>
    </w:p>
    <w:bookmarkEnd w:id="27"/>
    <w:bookmarkStart w:name="z37" w:id="28"/>
    <w:p>
      <w:pPr>
        <w:spacing w:after="0"/>
        <w:ind w:left="0"/>
        <w:jc w:val="both"/>
      </w:pPr>
      <w:r>
        <w:rPr>
          <w:rFonts w:ascii="Times New Roman"/>
          <w:b w:val="false"/>
          <w:i w:val="false"/>
          <w:color w:val="000000"/>
          <w:sz w:val="28"/>
        </w:rPr>
        <w:t>
      4. Взаимодействие операторов междугородной и (или) международной связи с зарубежными операторами связи осуществляется только через систему управления.</w:t>
      </w:r>
    </w:p>
    <w:bookmarkEnd w:id="28"/>
    <w:bookmarkStart w:name="z38" w:id="29"/>
    <w:p>
      <w:pPr>
        <w:spacing w:after="0"/>
        <w:ind w:left="0"/>
        <w:jc w:val="both"/>
      </w:pPr>
      <w:r>
        <w:rPr>
          <w:rFonts w:ascii="Times New Roman"/>
          <w:b w:val="false"/>
          <w:i w:val="false"/>
          <w:color w:val="000000"/>
          <w:sz w:val="28"/>
        </w:rPr>
        <w:t xml:space="preserve">
      5. Операторы междугородной и (или) международной связи осуществляют обмен трафиком с зарубежными операторами связи в соответствии с требованиями </w:t>
      </w:r>
      <w:r>
        <w:rPr>
          <w:rFonts w:ascii="Times New Roman"/>
          <w:b w:val="false"/>
          <w:i w:val="false"/>
          <w:color w:val="000000"/>
          <w:sz w:val="28"/>
        </w:rPr>
        <w:t>пункта 3</w:t>
      </w:r>
      <w:r>
        <w:rPr>
          <w:rFonts w:ascii="Times New Roman"/>
          <w:b w:val="false"/>
          <w:i w:val="false"/>
          <w:color w:val="000000"/>
          <w:sz w:val="28"/>
        </w:rPr>
        <w:t xml:space="preserve"> статьи 25 Закона.</w:t>
      </w:r>
    </w:p>
    <w:bookmarkEnd w:id="29"/>
    <w:bookmarkStart w:name="z39" w:id="30"/>
    <w:p>
      <w:pPr>
        <w:spacing w:after="0"/>
        <w:ind w:left="0"/>
        <w:jc w:val="both"/>
      </w:pPr>
      <w:r>
        <w:rPr>
          <w:rFonts w:ascii="Times New Roman"/>
          <w:b w:val="false"/>
          <w:i w:val="false"/>
          <w:color w:val="000000"/>
          <w:sz w:val="28"/>
        </w:rPr>
        <w:t>
      6. Операторы междугородной и (или) международной связи осуществляют ввод своих сетей связи в эксплуатацию только после их присоединения к системе управления в порядке, определенном настоящими Правилами.</w:t>
      </w:r>
    </w:p>
    <w:bookmarkEnd w:id="30"/>
    <w:bookmarkStart w:name="z40" w:id="31"/>
    <w:p>
      <w:pPr>
        <w:spacing w:after="0"/>
        <w:ind w:left="0"/>
        <w:jc w:val="both"/>
      </w:pPr>
      <w:r>
        <w:rPr>
          <w:rFonts w:ascii="Times New Roman"/>
          <w:b w:val="false"/>
          <w:i w:val="false"/>
          <w:color w:val="000000"/>
          <w:sz w:val="28"/>
        </w:rPr>
        <w:t>
      7. Операторы междугородной и (или) международной связи, при подключении к системе управления, осуществляют пропуск интернет-трафика всех абонентов соответствующей области или города республиканского значения Республики Казахстан через узел системы управления, расположенный на территории данной области или города республиканского значения.</w:t>
      </w:r>
    </w:p>
    <w:bookmarkEnd w:id="31"/>
    <w:bookmarkStart w:name="z41" w:id="32"/>
    <w:p>
      <w:pPr>
        <w:spacing w:after="0"/>
        <w:ind w:left="0"/>
        <w:jc w:val="both"/>
      </w:pPr>
      <w:r>
        <w:rPr>
          <w:rFonts w:ascii="Times New Roman"/>
          <w:b w:val="false"/>
          <w:i w:val="false"/>
          <w:color w:val="000000"/>
          <w:sz w:val="28"/>
        </w:rPr>
        <w:t>
      В случае отсутствия технической возможности у оператора междугородней и (или) международной связи и (или) акционерного общества "Государственная техническая служба" (далее – ГТС) пропуска интернет-трафика всех или части абонентов через узел системы управления соответствующей области или города республиканского значения, операторы междугородной и (или) международной связи осуществляют пропуск данного интернет-трафика через узел системы управления другой области или города республиканского значения.</w:t>
      </w:r>
    </w:p>
    <w:bookmarkEnd w:id="32"/>
    <w:bookmarkStart w:name="z42" w:id="33"/>
    <w:p>
      <w:pPr>
        <w:spacing w:after="0"/>
        <w:ind w:left="0"/>
        <w:jc w:val="both"/>
      </w:pPr>
      <w:r>
        <w:rPr>
          <w:rFonts w:ascii="Times New Roman"/>
          <w:b w:val="false"/>
          <w:i w:val="false"/>
          <w:color w:val="000000"/>
          <w:sz w:val="28"/>
        </w:rPr>
        <w:t>
      8. Операторы связи, не подключенные к системе управления, осуществляют пропуск интернет-трафика между областями и городами республиканского значения через сети операторов междугородной и (или) международной связи, которые подключены к системе управления.</w:t>
      </w:r>
    </w:p>
    <w:bookmarkEnd w:id="33"/>
    <w:bookmarkStart w:name="z43" w:id="34"/>
    <w:p>
      <w:pPr>
        <w:spacing w:after="0"/>
        <w:ind w:left="0"/>
        <w:jc w:val="left"/>
      </w:pPr>
      <w:r>
        <w:rPr>
          <w:rFonts w:ascii="Times New Roman"/>
          <w:b/>
          <w:i w:val="false"/>
          <w:color w:val="000000"/>
        </w:rPr>
        <w:t xml:space="preserve"> Глава 2. Порядок функционирования системы централизованного управления сетями телекоммуникаций Республики Казахстан</w:t>
      </w:r>
    </w:p>
    <w:bookmarkEnd w:id="34"/>
    <w:bookmarkStart w:name="z44" w:id="35"/>
    <w:p>
      <w:pPr>
        <w:spacing w:after="0"/>
        <w:ind w:left="0"/>
        <w:jc w:val="left"/>
      </w:pPr>
      <w:r>
        <w:rPr>
          <w:rFonts w:ascii="Times New Roman"/>
          <w:b/>
          <w:i w:val="false"/>
          <w:color w:val="000000"/>
        </w:rPr>
        <w:t xml:space="preserve"> Параграф 1. Организация, регистрация и эксплуатация международных точек стыка</w:t>
      </w:r>
    </w:p>
    <w:bookmarkEnd w:id="35"/>
    <w:bookmarkStart w:name="z45" w:id="36"/>
    <w:p>
      <w:pPr>
        <w:spacing w:after="0"/>
        <w:ind w:left="0"/>
        <w:jc w:val="both"/>
      </w:pPr>
      <w:r>
        <w:rPr>
          <w:rFonts w:ascii="Times New Roman"/>
          <w:b w:val="false"/>
          <w:i w:val="false"/>
          <w:color w:val="000000"/>
          <w:sz w:val="28"/>
        </w:rPr>
        <w:t>
      9. Оператор международной связи Республики Казахстан для соединения своей международной коммутационной станции с международной коммутационной станцией зарубежного оператора связи осуществляет организацию международной точки стыка.</w:t>
      </w:r>
    </w:p>
    <w:bookmarkEnd w:id="36"/>
    <w:bookmarkStart w:name="z46" w:id="37"/>
    <w:p>
      <w:pPr>
        <w:spacing w:after="0"/>
        <w:ind w:left="0"/>
        <w:jc w:val="both"/>
      </w:pPr>
      <w:r>
        <w:rPr>
          <w:rFonts w:ascii="Times New Roman"/>
          <w:b w:val="false"/>
          <w:i w:val="false"/>
          <w:color w:val="000000"/>
          <w:sz w:val="28"/>
        </w:rPr>
        <w:t>
      10. Для регистрации международной точки стыка оператор международной связи направляет заявление на регистрацию международной точки стыка с зарубежными операторами связи в ГТС по форме согласно приложению 1 к Правилам.</w:t>
      </w:r>
    </w:p>
    <w:bookmarkEnd w:id="37"/>
    <w:bookmarkStart w:name="z47" w:id="38"/>
    <w:p>
      <w:pPr>
        <w:spacing w:after="0"/>
        <w:ind w:left="0"/>
        <w:jc w:val="both"/>
      </w:pPr>
      <w:r>
        <w:rPr>
          <w:rFonts w:ascii="Times New Roman"/>
          <w:b w:val="false"/>
          <w:i w:val="false"/>
          <w:color w:val="000000"/>
          <w:sz w:val="28"/>
        </w:rPr>
        <w:t>
      11. ГТС после получения заявления на регистрацию международной точки стыка, в течение 10 рабочих дней направляет регистрационный номер международной точки стыка оператору международной связи.</w:t>
      </w:r>
    </w:p>
    <w:bookmarkEnd w:id="38"/>
    <w:bookmarkStart w:name="z48" w:id="39"/>
    <w:p>
      <w:pPr>
        <w:spacing w:after="0"/>
        <w:ind w:left="0"/>
        <w:jc w:val="both"/>
      </w:pPr>
      <w:r>
        <w:rPr>
          <w:rFonts w:ascii="Times New Roman"/>
          <w:b w:val="false"/>
          <w:i w:val="false"/>
          <w:color w:val="000000"/>
          <w:sz w:val="28"/>
        </w:rPr>
        <w:t>
      12. После получения регистрационного номера оператор международной связи осуществляет запуск международной точки стыка в эксплуатацию.</w:t>
      </w:r>
    </w:p>
    <w:bookmarkEnd w:id="39"/>
    <w:bookmarkStart w:name="z49" w:id="40"/>
    <w:p>
      <w:pPr>
        <w:spacing w:after="0"/>
        <w:ind w:left="0"/>
        <w:jc w:val="both"/>
      </w:pPr>
      <w:r>
        <w:rPr>
          <w:rFonts w:ascii="Times New Roman"/>
          <w:b w:val="false"/>
          <w:i w:val="false"/>
          <w:color w:val="000000"/>
          <w:sz w:val="28"/>
        </w:rPr>
        <w:t>
      Эксплуатация международной точки стыка осуществляется в соответствии с целью и назначением, указанными оператором международной связи в заявлении на ее регистрацию.</w:t>
      </w:r>
    </w:p>
    <w:bookmarkEnd w:id="40"/>
    <w:bookmarkStart w:name="z50" w:id="41"/>
    <w:p>
      <w:pPr>
        <w:spacing w:after="0"/>
        <w:ind w:left="0"/>
        <w:jc w:val="both"/>
      </w:pPr>
      <w:r>
        <w:rPr>
          <w:rFonts w:ascii="Times New Roman"/>
          <w:b w:val="false"/>
          <w:i w:val="false"/>
          <w:color w:val="000000"/>
          <w:sz w:val="28"/>
        </w:rPr>
        <w:t>
      13. Операторы международной связи, в случае изменения емкости международной точки стыка с зарубежными операторами связи, не менее чем за 10 рабочих дней до планируемого изменения, а в экстренных случаях за 5 рабочих дней направляют в ГТС уведомление об изменении емкости международной точки стыка с зарубежными операторами связи по форме согласно приложению 2 к Правилам.</w:t>
      </w:r>
    </w:p>
    <w:bookmarkEnd w:id="41"/>
    <w:bookmarkStart w:name="z51" w:id="42"/>
    <w:p>
      <w:pPr>
        <w:spacing w:after="0"/>
        <w:ind w:left="0"/>
        <w:jc w:val="both"/>
      </w:pPr>
      <w:r>
        <w:rPr>
          <w:rFonts w:ascii="Times New Roman"/>
          <w:b w:val="false"/>
          <w:i w:val="false"/>
          <w:color w:val="000000"/>
          <w:sz w:val="28"/>
        </w:rPr>
        <w:t>
      14. Операторы международной связи, в случае расформирования международной точки стыка, направляют в ГТС уведомление о расформировании стыка с зарубежными операторами связи по форме согласно приложению 3 к Правилам.</w:t>
      </w:r>
    </w:p>
    <w:bookmarkEnd w:id="42"/>
    <w:bookmarkStart w:name="z52" w:id="43"/>
    <w:p>
      <w:pPr>
        <w:spacing w:after="0"/>
        <w:ind w:left="0"/>
        <w:jc w:val="left"/>
      </w:pPr>
      <w:r>
        <w:rPr>
          <w:rFonts w:ascii="Times New Roman"/>
          <w:b/>
          <w:i w:val="false"/>
          <w:color w:val="000000"/>
        </w:rPr>
        <w:t xml:space="preserve"> Параграф 2. Комплекс организационно-технических мероприятий, формирование управляющих параметров</w:t>
      </w:r>
    </w:p>
    <w:bookmarkEnd w:id="43"/>
    <w:bookmarkStart w:name="z53" w:id="44"/>
    <w:p>
      <w:pPr>
        <w:spacing w:after="0"/>
        <w:ind w:left="0"/>
        <w:jc w:val="both"/>
      </w:pPr>
      <w:r>
        <w:rPr>
          <w:rFonts w:ascii="Times New Roman"/>
          <w:b w:val="false"/>
          <w:i w:val="false"/>
          <w:color w:val="000000"/>
          <w:sz w:val="28"/>
        </w:rPr>
        <w:t xml:space="preserve">
      15. ГТС реализует комплекс организационно-технических мероприятий и формирование управляющих параметров посредством системы управления, направленных на исполнение требований </w:t>
      </w:r>
      <w:r>
        <w:rPr>
          <w:rFonts w:ascii="Times New Roman"/>
          <w:b w:val="false"/>
          <w:i w:val="false"/>
          <w:color w:val="000000"/>
          <w:sz w:val="28"/>
        </w:rPr>
        <w:t>статьи 14</w:t>
      </w:r>
      <w:r>
        <w:rPr>
          <w:rFonts w:ascii="Times New Roman"/>
          <w:b w:val="false"/>
          <w:i w:val="false"/>
          <w:color w:val="000000"/>
          <w:sz w:val="28"/>
        </w:rPr>
        <w:t xml:space="preserve"> и </w:t>
      </w:r>
      <w:r>
        <w:rPr>
          <w:rFonts w:ascii="Times New Roman"/>
          <w:b w:val="false"/>
          <w:i w:val="false"/>
          <w:color w:val="000000"/>
          <w:sz w:val="28"/>
        </w:rPr>
        <w:t>статьи 41-1</w:t>
      </w:r>
      <w:r>
        <w:rPr>
          <w:rFonts w:ascii="Times New Roman"/>
          <w:b w:val="false"/>
          <w:i w:val="false"/>
          <w:color w:val="000000"/>
          <w:sz w:val="28"/>
        </w:rPr>
        <w:t xml:space="preserve"> Закона, в следующем порядке:</w:t>
      </w:r>
    </w:p>
    <w:bookmarkEnd w:id="44"/>
    <w:bookmarkStart w:name="z54" w:id="45"/>
    <w:p>
      <w:pPr>
        <w:spacing w:after="0"/>
        <w:ind w:left="0"/>
        <w:jc w:val="both"/>
      </w:pPr>
      <w:r>
        <w:rPr>
          <w:rFonts w:ascii="Times New Roman"/>
          <w:b w:val="false"/>
          <w:i w:val="false"/>
          <w:color w:val="000000"/>
          <w:sz w:val="28"/>
        </w:rPr>
        <w:t>
      1) формирует список сетей и (или) средств связи, интернет-ресурсов на основании полученного предписания от органов национальной безопасности Республики Казахстан и (или) уполномоченного органа в области средств массовой информации Республики Казахстан;</w:t>
      </w:r>
    </w:p>
    <w:bookmarkEnd w:id="45"/>
    <w:bookmarkStart w:name="z55" w:id="46"/>
    <w:p>
      <w:pPr>
        <w:spacing w:after="0"/>
        <w:ind w:left="0"/>
        <w:jc w:val="both"/>
      </w:pPr>
      <w:r>
        <w:rPr>
          <w:rFonts w:ascii="Times New Roman"/>
          <w:b w:val="false"/>
          <w:i w:val="false"/>
          <w:color w:val="000000"/>
          <w:sz w:val="28"/>
        </w:rPr>
        <w:t>
      2) вносит управляющие параметры в систему управления для списка сетей и (или) средств связи, интернет-ресурсов, указанных в предписании;</w:t>
      </w:r>
    </w:p>
    <w:bookmarkEnd w:id="46"/>
    <w:bookmarkStart w:name="z56" w:id="47"/>
    <w:p>
      <w:pPr>
        <w:spacing w:after="0"/>
        <w:ind w:left="0"/>
        <w:jc w:val="both"/>
      </w:pPr>
      <w:r>
        <w:rPr>
          <w:rFonts w:ascii="Times New Roman"/>
          <w:b w:val="false"/>
          <w:i w:val="false"/>
          <w:color w:val="000000"/>
          <w:sz w:val="28"/>
        </w:rPr>
        <w:t>
      3) осуществляет проверку корректного исполнения внесенных управляющих параметров в системе управления;</w:t>
      </w:r>
    </w:p>
    <w:bookmarkEnd w:id="47"/>
    <w:bookmarkStart w:name="z57" w:id="48"/>
    <w:p>
      <w:pPr>
        <w:spacing w:after="0"/>
        <w:ind w:left="0"/>
        <w:jc w:val="both"/>
      </w:pPr>
      <w:r>
        <w:rPr>
          <w:rFonts w:ascii="Times New Roman"/>
          <w:b w:val="false"/>
          <w:i w:val="false"/>
          <w:color w:val="000000"/>
          <w:sz w:val="28"/>
        </w:rPr>
        <w:t>
      4) направляет уведомление об исполнении предписания в органы национальной безопасности Республики Казахстан и (или) уполномоченный орган в области средств массовой информации Республики Казахстан c использованием информационных систем или системы электронного документооборота.</w:t>
      </w:r>
    </w:p>
    <w:bookmarkEnd w:id="48"/>
    <w:bookmarkStart w:name="z58" w:id="49"/>
    <w:p>
      <w:pPr>
        <w:spacing w:after="0"/>
        <w:ind w:left="0"/>
        <w:jc w:val="both"/>
      </w:pPr>
      <w:r>
        <w:rPr>
          <w:rFonts w:ascii="Times New Roman"/>
          <w:b w:val="false"/>
          <w:i w:val="false"/>
          <w:color w:val="000000"/>
          <w:sz w:val="28"/>
        </w:rPr>
        <w:t>
      ГТС в круглосуточном режиме реализует комплекс организационно-технических мероприятий по обеспечению работы системы управления, включающих в себя техническое сопровождение оборудования, обновление, настройку программного обеспечения системы управления и устранение сбоев в работе системы управления.</w:t>
      </w:r>
    </w:p>
    <w:bookmarkEnd w:id="49"/>
    <w:bookmarkStart w:name="z59" w:id="50"/>
    <w:p>
      <w:pPr>
        <w:spacing w:after="0"/>
        <w:ind w:left="0"/>
        <w:jc w:val="left"/>
      </w:pPr>
      <w:r>
        <w:rPr>
          <w:rFonts w:ascii="Times New Roman"/>
          <w:b/>
          <w:i w:val="false"/>
          <w:color w:val="000000"/>
        </w:rPr>
        <w:t xml:space="preserve"> Параграф 3. Требования к применяемым средствам связи и управлению ими, обеспечение информационной безопасности на сетях связи, ввод сетей связи в эксплуатацию и контроль за исполнением</w:t>
      </w:r>
    </w:p>
    <w:bookmarkEnd w:id="50"/>
    <w:bookmarkStart w:name="z60" w:id="51"/>
    <w:p>
      <w:pPr>
        <w:spacing w:after="0"/>
        <w:ind w:left="0"/>
        <w:jc w:val="both"/>
      </w:pPr>
      <w:r>
        <w:rPr>
          <w:rFonts w:ascii="Times New Roman"/>
          <w:b w:val="false"/>
          <w:i w:val="false"/>
          <w:color w:val="000000"/>
          <w:sz w:val="28"/>
        </w:rPr>
        <w:t xml:space="preserve">
      16. К средствам связи и управления ими предъявляются следующие требования: </w:t>
      </w:r>
    </w:p>
    <w:bookmarkEnd w:id="51"/>
    <w:bookmarkStart w:name="z61" w:id="52"/>
    <w:p>
      <w:pPr>
        <w:spacing w:after="0"/>
        <w:ind w:left="0"/>
        <w:jc w:val="both"/>
      </w:pPr>
      <w:r>
        <w:rPr>
          <w:rFonts w:ascii="Times New Roman"/>
          <w:b w:val="false"/>
          <w:i w:val="false"/>
          <w:color w:val="000000"/>
          <w:sz w:val="28"/>
        </w:rPr>
        <w:t>
      1) средства связи и управления ими сертифицируются в соответствии с законодательством Республики Казахстан в области технического регулирования;</w:t>
      </w:r>
    </w:p>
    <w:bookmarkEnd w:id="52"/>
    <w:bookmarkStart w:name="z62" w:id="53"/>
    <w:p>
      <w:pPr>
        <w:spacing w:after="0"/>
        <w:ind w:left="0"/>
        <w:jc w:val="both"/>
      </w:pPr>
      <w:r>
        <w:rPr>
          <w:rFonts w:ascii="Times New Roman"/>
          <w:b w:val="false"/>
          <w:i w:val="false"/>
          <w:color w:val="000000"/>
          <w:sz w:val="28"/>
        </w:rPr>
        <w:t>
      2) средства связи, участвующие в управлении системой управления, включают:</w:t>
      </w:r>
    </w:p>
    <w:bookmarkEnd w:id="53"/>
    <w:bookmarkStart w:name="z63" w:id="54"/>
    <w:p>
      <w:pPr>
        <w:spacing w:after="0"/>
        <w:ind w:left="0"/>
        <w:jc w:val="both"/>
      </w:pPr>
      <w:r>
        <w:rPr>
          <w:rFonts w:ascii="Times New Roman"/>
          <w:b w:val="false"/>
          <w:i w:val="false"/>
          <w:color w:val="000000"/>
          <w:sz w:val="28"/>
        </w:rPr>
        <w:t>
      конфигурацию уровней привилегий администраторов;</w:t>
      </w:r>
    </w:p>
    <w:bookmarkEnd w:id="54"/>
    <w:bookmarkStart w:name="z64" w:id="55"/>
    <w:p>
      <w:pPr>
        <w:spacing w:after="0"/>
        <w:ind w:left="0"/>
        <w:jc w:val="both"/>
      </w:pPr>
      <w:r>
        <w:rPr>
          <w:rFonts w:ascii="Times New Roman"/>
          <w:b w:val="false"/>
          <w:i w:val="false"/>
          <w:color w:val="000000"/>
          <w:sz w:val="28"/>
        </w:rPr>
        <w:t>
      логирование действий администраторов;</w:t>
      </w:r>
    </w:p>
    <w:bookmarkEnd w:id="55"/>
    <w:bookmarkStart w:name="z65" w:id="56"/>
    <w:p>
      <w:pPr>
        <w:spacing w:after="0"/>
        <w:ind w:left="0"/>
        <w:jc w:val="both"/>
      </w:pPr>
      <w:r>
        <w:rPr>
          <w:rFonts w:ascii="Times New Roman"/>
          <w:b w:val="false"/>
          <w:i w:val="false"/>
          <w:color w:val="000000"/>
          <w:sz w:val="28"/>
        </w:rPr>
        <w:t>
      защиту от сетевых атак;</w:t>
      </w:r>
    </w:p>
    <w:bookmarkEnd w:id="56"/>
    <w:bookmarkStart w:name="z66" w:id="57"/>
    <w:p>
      <w:pPr>
        <w:spacing w:after="0"/>
        <w:ind w:left="0"/>
        <w:jc w:val="both"/>
      </w:pPr>
      <w:r>
        <w:rPr>
          <w:rFonts w:ascii="Times New Roman"/>
          <w:b w:val="false"/>
          <w:i w:val="false"/>
          <w:color w:val="000000"/>
          <w:sz w:val="28"/>
        </w:rPr>
        <w:t>
      контроль состояния физических и логических портов;</w:t>
      </w:r>
    </w:p>
    <w:bookmarkEnd w:id="57"/>
    <w:bookmarkStart w:name="z67" w:id="58"/>
    <w:p>
      <w:pPr>
        <w:spacing w:after="0"/>
        <w:ind w:left="0"/>
        <w:jc w:val="both"/>
      </w:pPr>
      <w:r>
        <w:rPr>
          <w:rFonts w:ascii="Times New Roman"/>
          <w:b w:val="false"/>
          <w:i w:val="false"/>
          <w:color w:val="000000"/>
          <w:sz w:val="28"/>
        </w:rPr>
        <w:t>
      3) резервирование каналов управления и корреляции осуществляется путем предоставления независимых обходных путей, организуемых по независимым географическим трассам;</w:t>
      </w:r>
    </w:p>
    <w:bookmarkEnd w:id="58"/>
    <w:bookmarkStart w:name="z68" w:id="59"/>
    <w:p>
      <w:pPr>
        <w:spacing w:after="0"/>
        <w:ind w:left="0"/>
        <w:jc w:val="both"/>
      </w:pPr>
      <w:r>
        <w:rPr>
          <w:rFonts w:ascii="Times New Roman"/>
          <w:b w:val="false"/>
          <w:i w:val="false"/>
          <w:color w:val="000000"/>
          <w:sz w:val="28"/>
        </w:rPr>
        <w:t>
      4) оборудование системы управления, на котором организованы каналы управления и корреляции, обеспечивается электропитанием от источников бесперебойного питания.</w:t>
      </w:r>
    </w:p>
    <w:bookmarkEnd w:id="59"/>
    <w:bookmarkStart w:name="z69" w:id="60"/>
    <w:p>
      <w:pPr>
        <w:spacing w:after="0"/>
        <w:ind w:left="0"/>
        <w:jc w:val="both"/>
      </w:pPr>
      <w:r>
        <w:rPr>
          <w:rFonts w:ascii="Times New Roman"/>
          <w:b w:val="false"/>
          <w:i w:val="false"/>
          <w:color w:val="000000"/>
          <w:sz w:val="28"/>
        </w:rPr>
        <w:t xml:space="preserve">
      17. Информационная безопасность на сетях связи обеспечивается: </w:t>
      </w:r>
    </w:p>
    <w:bookmarkEnd w:id="60"/>
    <w:bookmarkStart w:name="z70" w:id="61"/>
    <w:p>
      <w:pPr>
        <w:spacing w:after="0"/>
        <w:ind w:left="0"/>
        <w:jc w:val="both"/>
      </w:pPr>
      <w:r>
        <w:rPr>
          <w:rFonts w:ascii="Times New Roman"/>
          <w:b w:val="false"/>
          <w:i w:val="false"/>
          <w:color w:val="000000"/>
          <w:sz w:val="28"/>
        </w:rPr>
        <w:t>
      1) подключением каналов управления и корреляции к внутреннему контуру системы управления посредством средств связи с прописанными алгоритмами маршрутизации и политикой безопасности;</w:t>
      </w:r>
    </w:p>
    <w:bookmarkEnd w:id="61"/>
    <w:bookmarkStart w:name="z71" w:id="62"/>
    <w:p>
      <w:pPr>
        <w:spacing w:after="0"/>
        <w:ind w:left="0"/>
        <w:jc w:val="both"/>
      </w:pPr>
      <w:r>
        <w:rPr>
          <w:rFonts w:ascii="Times New Roman"/>
          <w:b w:val="false"/>
          <w:i w:val="false"/>
          <w:color w:val="000000"/>
          <w:sz w:val="28"/>
        </w:rPr>
        <w:t>
      2) осуществлением резервирования каналов управления и корреляции, обеспечивающих подключение к внутреннему контуру системы управления;</w:t>
      </w:r>
    </w:p>
    <w:bookmarkEnd w:id="62"/>
    <w:bookmarkStart w:name="z72" w:id="63"/>
    <w:p>
      <w:pPr>
        <w:spacing w:after="0"/>
        <w:ind w:left="0"/>
        <w:jc w:val="both"/>
      </w:pPr>
      <w:r>
        <w:rPr>
          <w:rFonts w:ascii="Times New Roman"/>
          <w:b w:val="false"/>
          <w:i w:val="false"/>
          <w:color w:val="000000"/>
          <w:sz w:val="28"/>
        </w:rPr>
        <w:t>
      3) осуществлением контроля физического доступа к каналам управления и корреляции, используемым для обеспечения функционирования системы управления;</w:t>
      </w:r>
    </w:p>
    <w:bookmarkEnd w:id="63"/>
    <w:bookmarkStart w:name="z73" w:id="64"/>
    <w:p>
      <w:pPr>
        <w:spacing w:after="0"/>
        <w:ind w:left="0"/>
        <w:jc w:val="both"/>
      </w:pPr>
      <w:r>
        <w:rPr>
          <w:rFonts w:ascii="Times New Roman"/>
          <w:b w:val="false"/>
          <w:i w:val="false"/>
          <w:color w:val="000000"/>
          <w:sz w:val="28"/>
        </w:rPr>
        <w:t>
      4) изоляцией внутреннего контура системы управления от сети Интернет, за исключением организованных каналов с использованием средств криптографической защиты.</w:t>
      </w:r>
    </w:p>
    <w:bookmarkEnd w:id="64"/>
    <w:bookmarkStart w:name="z74" w:id="65"/>
    <w:p>
      <w:pPr>
        <w:spacing w:after="0"/>
        <w:ind w:left="0"/>
        <w:jc w:val="both"/>
      </w:pPr>
      <w:r>
        <w:rPr>
          <w:rFonts w:ascii="Times New Roman"/>
          <w:b w:val="false"/>
          <w:i w:val="false"/>
          <w:color w:val="000000"/>
          <w:sz w:val="28"/>
        </w:rPr>
        <w:t xml:space="preserve">
      18. Контроль за исполнением положений настоящего параграфа осуществляется центральным исполнительным органом, определяемым Правительством Республики Казахстан, осуществляющим реализацию государственной политики в области связи, государственного контроля, координации и регулирования деятельности лиц, предоставляющих услуги в области связи или пользующихся ими, его территориальными подразделениями в пределах компетенции, определяемой </w:t>
      </w:r>
      <w:r>
        <w:rPr>
          <w:rFonts w:ascii="Times New Roman"/>
          <w:b w:val="false"/>
          <w:i w:val="false"/>
          <w:color w:val="000000"/>
          <w:sz w:val="28"/>
        </w:rPr>
        <w:t>главой 2</w:t>
      </w:r>
      <w:r>
        <w:rPr>
          <w:rFonts w:ascii="Times New Roman"/>
          <w:b w:val="false"/>
          <w:i w:val="false"/>
          <w:color w:val="000000"/>
          <w:sz w:val="28"/>
        </w:rPr>
        <w:t xml:space="preserve"> Закона.</w:t>
      </w:r>
    </w:p>
    <w:bookmarkEnd w:id="65"/>
    <w:bookmarkStart w:name="z75" w:id="66"/>
    <w:p>
      <w:pPr>
        <w:spacing w:after="0"/>
        <w:ind w:left="0"/>
        <w:jc w:val="both"/>
      </w:pPr>
      <w:r>
        <w:rPr>
          <w:rFonts w:ascii="Times New Roman"/>
          <w:b w:val="false"/>
          <w:i w:val="false"/>
          <w:color w:val="000000"/>
          <w:sz w:val="28"/>
        </w:rPr>
        <w:t>
      19. Для присоединения своих сетей телекоммуникаций к системе управления оператор междугородной и (или) международной связи направляет в ГТС заявление на выдачу технических условий присоединения к системе управления по форме согласно приложению 4 к Правилам.</w:t>
      </w:r>
    </w:p>
    <w:bookmarkEnd w:id="66"/>
    <w:bookmarkStart w:name="z76" w:id="67"/>
    <w:p>
      <w:pPr>
        <w:spacing w:after="0"/>
        <w:ind w:left="0"/>
        <w:jc w:val="both"/>
      </w:pPr>
      <w:r>
        <w:rPr>
          <w:rFonts w:ascii="Times New Roman"/>
          <w:b w:val="false"/>
          <w:i w:val="false"/>
          <w:color w:val="000000"/>
          <w:sz w:val="28"/>
        </w:rPr>
        <w:t>
      20. ГТС в течение 15 рабочих дней с даты получения заявления от оператора междугородной и (или) международной связи выдает технические условия присоединения к системе управления (далее – технические условия) по форме согласно приложению 5 к Правилам.</w:t>
      </w:r>
    </w:p>
    <w:bookmarkEnd w:id="67"/>
    <w:bookmarkStart w:name="z77" w:id="68"/>
    <w:p>
      <w:pPr>
        <w:spacing w:after="0"/>
        <w:ind w:left="0"/>
        <w:jc w:val="both"/>
      </w:pPr>
      <w:r>
        <w:rPr>
          <w:rFonts w:ascii="Times New Roman"/>
          <w:b w:val="false"/>
          <w:i w:val="false"/>
          <w:color w:val="000000"/>
          <w:sz w:val="28"/>
        </w:rPr>
        <w:t>
      В случае указания недостоверной информации в заявлении, ГТС в течение 3 рабочих дней с даты получения заявления направляет оператору междугородной и (или) международной связи отказ в выдаче технических условий с обоснованием причин отказа.</w:t>
      </w:r>
    </w:p>
    <w:bookmarkEnd w:id="68"/>
    <w:bookmarkStart w:name="z78" w:id="69"/>
    <w:p>
      <w:pPr>
        <w:spacing w:after="0"/>
        <w:ind w:left="0"/>
        <w:jc w:val="both"/>
      </w:pPr>
      <w:r>
        <w:rPr>
          <w:rFonts w:ascii="Times New Roman"/>
          <w:b w:val="false"/>
          <w:i w:val="false"/>
          <w:color w:val="000000"/>
          <w:sz w:val="28"/>
        </w:rPr>
        <w:t>
      21. Оператор междугородной и (или) международной связи в течение 30 календарных дней со дня получения технических условий или после начала действия выданных технических условий (при этом дата начала действия технических условий не может быть позднее трех месяцев со дня выдачи технических условий) проводит необходимые технические мероприятия по присоединению к системе управления в соответствии с выданными техническими условиями. Оператор междугородной и (или) международной связи осуществляет пропуск интернет-трафика после отправки в ГТС уведомления посредством электронной почты и согласования посредством телефонной связи.</w:t>
      </w:r>
    </w:p>
    <w:bookmarkEnd w:id="69"/>
    <w:bookmarkStart w:name="z79" w:id="70"/>
    <w:p>
      <w:pPr>
        <w:spacing w:after="0"/>
        <w:ind w:left="0"/>
        <w:jc w:val="both"/>
      </w:pPr>
      <w:r>
        <w:rPr>
          <w:rFonts w:ascii="Times New Roman"/>
          <w:b w:val="false"/>
          <w:i w:val="false"/>
          <w:color w:val="000000"/>
          <w:sz w:val="28"/>
        </w:rPr>
        <w:t>
      22. Оператор междугородной и (или) международной связи письменно уведомляет ГТС за 5 рабочих дней до расформирования канала связи согласно выданным техническим условиям присоединения к системе управления.</w:t>
      </w:r>
    </w:p>
    <w:bookmarkEnd w:id="70"/>
    <w:bookmarkStart w:name="z80" w:id="71"/>
    <w:p>
      <w:pPr>
        <w:spacing w:after="0"/>
        <w:ind w:left="0"/>
        <w:jc w:val="left"/>
      </w:pPr>
      <w:r>
        <w:rPr>
          <w:rFonts w:ascii="Times New Roman"/>
          <w:b/>
          <w:i w:val="false"/>
          <w:color w:val="000000"/>
        </w:rPr>
        <w:t xml:space="preserve"> Параграф 4. Предоставление операторами междугородной и международной связи линий и каналов связи, необходимых для обеспечения функционирования системы управления</w:t>
      </w:r>
    </w:p>
    <w:bookmarkEnd w:id="71"/>
    <w:bookmarkStart w:name="z81" w:id="72"/>
    <w:p>
      <w:pPr>
        <w:spacing w:after="0"/>
        <w:ind w:left="0"/>
        <w:jc w:val="both"/>
      </w:pPr>
      <w:r>
        <w:rPr>
          <w:rFonts w:ascii="Times New Roman"/>
          <w:b w:val="false"/>
          <w:i w:val="false"/>
          <w:color w:val="000000"/>
          <w:sz w:val="28"/>
        </w:rPr>
        <w:t>
      23. ГТС производит расчеты необходимого для функционирования системы управления количества каналов корреляции и каналов управления, а также их пропускной способности и направляет письмо операторам междугородной и международной связи с результатами выполненных расчетов.</w:t>
      </w:r>
    </w:p>
    <w:bookmarkEnd w:id="72"/>
    <w:bookmarkStart w:name="z82" w:id="73"/>
    <w:p>
      <w:pPr>
        <w:spacing w:after="0"/>
        <w:ind w:left="0"/>
        <w:jc w:val="both"/>
      </w:pPr>
      <w:r>
        <w:rPr>
          <w:rFonts w:ascii="Times New Roman"/>
          <w:b w:val="false"/>
          <w:i w:val="false"/>
          <w:color w:val="000000"/>
          <w:sz w:val="28"/>
        </w:rPr>
        <w:t>
      Операторы междугородной и международной связи, согласно полученным расчетам, за счет собственных средств предоставляют каналы корреляции и каналы управления, а также линии связи, необходимые для функционирования системы управления.</w:t>
      </w:r>
    </w:p>
    <w:bookmarkEnd w:id="73"/>
    <w:bookmarkStart w:name="z83" w:id="74"/>
    <w:p>
      <w:pPr>
        <w:spacing w:after="0"/>
        <w:ind w:left="0"/>
        <w:jc w:val="both"/>
      </w:pPr>
      <w:r>
        <w:rPr>
          <w:rFonts w:ascii="Times New Roman"/>
          <w:b w:val="false"/>
          <w:i w:val="false"/>
          <w:color w:val="000000"/>
          <w:sz w:val="28"/>
        </w:rPr>
        <w:t>
      24. ГТС производит подключение каналов корреляции и каналов управления в точках присутствия оператора междугородной и международной связи к узлам системы управления.</w:t>
      </w:r>
    </w:p>
    <w:bookmarkEnd w:id="74"/>
    <w:bookmarkStart w:name="z84" w:id="75"/>
    <w:p>
      <w:pPr>
        <w:spacing w:after="0"/>
        <w:ind w:left="0"/>
        <w:jc w:val="both"/>
      </w:pPr>
      <w:r>
        <w:rPr>
          <w:rFonts w:ascii="Times New Roman"/>
          <w:b w:val="false"/>
          <w:i w:val="false"/>
          <w:color w:val="000000"/>
          <w:sz w:val="28"/>
        </w:rPr>
        <w:t>
      25. В случае сбоев в работе или повреждения каналов корреляции и управления ГТС письменно в произвольной форме уведомляет оператора междугородной и международной связи.</w:t>
      </w:r>
    </w:p>
    <w:bookmarkEnd w:id="75"/>
    <w:bookmarkStart w:name="z85" w:id="76"/>
    <w:p>
      <w:pPr>
        <w:spacing w:after="0"/>
        <w:ind w:left="0"/>
        <w:jc w:val="both"/>
      </w:pPr>
      <w:r>
        <w:rPr>
          <w:rFonts w:ascii="Times New Roman"/>
          <w:b w:val="false"/>
          <w:i w:val="false"/>
          <w:color w:val="000000"/>
          <w:sz w:val="28"/>
        </w:rPr>
        <w:t>
      Оператор междугородной и международной связи после получения уведомления принимает меры по их восстановлению или замене каналов в случае их повреждения.</w:t>
      </w:r>
    </w:p>
    <w:bookmarkEnd w:id="76"/>
    <w:bookmarkStart w:name="z86" w:id="77"/>
    <w:p>
      <w:pPr>
        <w:spacing w:after="0"/>
        <w:ind w:left="0"/>
        <w:jc w:val="both"/>
      </w:pPr>
      <w:r>
        <w:rPr>
          <w:rFonts w:ascii="Times New Roman"/>
          <w:b w:val="false"/>
          <w:i w:val="false"/>
          <w:color w:val="000000"/>
          <w:sz w:val="28"/>
        </w:rPr>
        <w:t>
      26. В случае присоединения к системе управления новых сетей телекоммуникаций оператора междугородной и международной связи, ГТС в течение 30 календарных дней после присоединения производит расчеты объема пропускной способности каналов корреляции, и в случае его увеличения направляет письмо операторам междугородной и международной связи с указанием объема, необходимого для расширения каналов корреляции.</w:t>
      </w:r>
    </w:p>
    <w:bookmarkEnd w:id="77"/>
    <w:bookmarkStart w:name="z87" w:id="78"/>
    <w:p>
      <w:pPr>
        <w:spacing w:after="0"/>
        <w:ind w:left="0"/>
        <w:jc w:val="both"/>
      </w:pPr>
      <w:r>
        <w:rPr>
          <w:rFonts w:ascii="Times New Roman"/>
          <w:b w:val="false"/>
          <w:i w:val="false"/>
          <w:color w:val="000000"/>
          <w:sz w:val="28"/>
        </w:rPr>
        <w:t>
      Операторы междугородной и международной связи увеличивают пропускную способность каналов корреляции согласно объему, указанному ГТС.</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системы централизованного</w:t>
            </w:r>
            <w:r>
              <w:br/>
            </w:r>
            <w:r>
              <w:rPr>
                <w:rFonts w:ascii="Times New Roman"/>
                <w:b w:val="false"/>
                <w:i w:val="false"/>
                <w:color w:val="000000"/>
                <w:sz w:val="20"/>
              </w:rPr>
              <w:t>управления сетями телекоммуникаций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79"/>
    <w:p>
      <w:pPr>
        <w:spacing w:after="0"/>
        <w:ind w:left="0"/>
        <w:jc w:val="left"/>
      </w:pPr>
      <w:r>
        <w:rPr>
          <w:rFonts w:ascii="Times New Roman"/>
          <w:b/>
          <w:i w:val="false"/>
          <w:color w:val="000000"/>
        </w:rPr>
        <w:t xml:space="preserve">                                ЗАЯВЛЕНИЕ</w:t>
      </w:r>
    </w:p>
    <w:bookmarkEnd w:id="79"/>
    <w:p>
      <w:pPr>
        <w:spacing w:after="0"/>
        <w:ind w:left="0"/>
        <w:jc w:val="both"/>
      </w:pPr>
      <w:bookmarkStart w:name="z91" w:id="80"/>
      <w:r>
        <w:rPr>
          <w:rFonts w:ascii="Times New Roman"/>
          <w:b w:val="false"/>
          <w:i w:val="false"/>
          <w:color w:val="000000"/>
          <w:sz w:val="28"/>
        </w:rPr>
        <w:t>
             на регистрацию международной точки стыка с зарубежными операторами связи</w:t>
      </w:r>
    </w:p>
    <w:bookmarkEnd w:id="80"/>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физического лица или наименование</w:t>
      </w:r>
    </w:p>
    <w:p>
      <w:pPr>
        <w:spacing w:after="0"/>
        <w:ind w:left="0"/>
        <w:jc w:val="both"/>
      </w:pPr>
      <w:r>
        <w:rPr>
          <w:rFonts w:ascii="Times New Roman"/>
          <w:b w:val="false"/>
          <w:i w:val="false"/>
          <w:color w:val="000000"/>
          <w:sz w:val="28"/>
        </w:rPr>
        <w:t xml:space="preserve">                               юридического лица)</w:t>
      </w:r>
    </w:p>
    <w:p>
      <w:pPr>
        <w:spacing w:after="0"/>
        <w:ind w:left="0"/>
        <w:jc w:val="both"/>
      </w:pPr>
      <w:r>
        <w:rPr>
          <w:rFonts w:ascii="Times New Roman"/>
          <w:b w:val="false"/>
          <w:i w:val="false"/>
          <w:color w:val="000000"/>
          <w:sz w:val="28"/>
        </w:rPr>
        <w:t xml:space="preserve">       просит провести регистрацию международной точки стыка______________________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(цель и назначение ввода в эксплуатацию международной точки стыка)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(географические координаты стыка, сведения об оборудовании и его месторасположение)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(технические параметры: объем, тип трафика) для осуществления обмена</w:t>
      </w:r>
    </w:p>
    <w:p>
      <w:pPr>
        <w:spacing w:after="0"/>
        <w:ind w:left="0"/>
        <w:jc w:val="both"/>
      </w:pPr>
      <w:r>
        <w:rPr>
          <w:rFonts w:ascii="Times New Roman"/>
          <w:b w:val="false"/>
          <w:i w:val="false"/>
          <w:color w:val="000000"/>
          <w:sz w:val="28"/>
        </w:rPr>
        <w:t xml:space="preserve">                          трафиком с зарубежным оператором связи: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зарубежного оператора связи)</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системы централизованного</w:t>
            </w:r>
            <w:r>
              <w:br/>
            </w:r>
            <w:r>
              <w:rPr>
                <w:rFonts w:ascii="Times New Roman"/>
                <w:b w:val="false"/>
                <w:i w:val="false"/>
                <w:color w:val="000000"/>
                <w:sz w:val="20"/>
              </w:rPr>
              <w:t>управления сетями телекоммуникаций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81"/>
    <w:p>
      <w:pPr>
        <w:spacing w:after="0"/>
        <w:ind w:left="0"/>
        <w:jc w:val="left"/>
      </w:pPr>
      <w:r>
        <w:rPr>
          <w:rFonts w:ascii="Times New Roman"/>
          <w:b/>
          <w:i w:val="false"/>
          <w:color w:val="000000"/>
        </w:rPr>
        <w:t xml:space="preserve">                                УВЕДОМЛЕНИЕ</w:t>
      </w:r>
    </w:p>
    <w:bookmarkEnd w:id="81"/>
    <w:bookmarkStart w:name="z95" w:id="82"/>
    <w:p>
      <w:pPr>
        <w:spacing w:after="0"/>
        <w:ind w:left="0"/>
        <w:jc w:val="left"/>
      </w:pPr>
      <w:r>
        <w:rPr>
          <w:rFonts w:ascii="Times New Roman"/>
          <w:b/>
          <w:i w:val="false"/>
          <w:color w:val="000000"/>
        </w:rPr>
        <w:t xml:space="preserve">  об изменении емкости международной точки стыка с зарубежными операторами связи</w:t>
      </w:r>
    </w:p>
    <w:bookmarkEnd w:id="82"/>
    <w:p>
      <w:pPr>
        <w:spacing w:after="0"/>
        <w:ind w:left="0"/>
        <w:jc w:val="both"/>
      </w:pPr>
      <w:bookmarkStart w:name="z96" w:id="83"/>
      <w:r>
        <w:rPr>
          <w:rFonts w:ascii="Times New Roman"/>
          <w:b w:val="false"/>
          <w:i w:val="false"/>
          <w:color w:val="000000"/>
          <w:sz w:val="28"/>
        </w:rPr>
        <w:t>
      Регистрационный номер стыка</w:t>
      </w:r>
    </w:p>
    <w:bookmarkEnd w:id="83"/>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(присвоенный государственной технической службой) 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физического лица или наименование</w:t>
      </w:r>
    </w:p>
    <w:p>
      <w:pPr>
        <w:spacing w:after="0"/>
        <w:ind w:left="0"/>
        <w:jc w:val="both"/>
      </w:pPr>
      <w:r>
        <w:rPr>
          <w:rFonts w:ascii="Times New Roman"/>
          <w:b w:val="false"/>
          <w:i w:val="false"/>
          <w:color w:val="000000"/>
          <w:sz w:val="28"/>
        </w:rPr>
        <w:t xml:space="preserve">                                юридического лица)</w:t>
      </w:r>
    </w:p>
    <w:p>
      <w:pPr>
        <w:spacing w:after="0"/>
        <w:ind w:left="0"/>
        <w:jc w:val="both"/>
      </w:pPr>
      <w:r>
        <w:rPr>
          <w:rFonts w:ascii="Times New Roman"/>
          <w:b w:val="false"/>
          <w:i w:val="false"/>
          <w:color w:val="000000"/>
          <w:sz w:val="28"/>
        </w:rPr>
        <w:t>информирует об изменении емкости стыка (увеличение/уменьшение)____________________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(географические координаты стыка, сведения об оборудовании и его месторасположение)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(новые технические параметры: объем, тип трафика)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(общая емкость стыка: Гбит/с)</w:t>
      </w:r>
    </w:p>
    <w:p>
      <w:pPr>
        <w:spacing w:after="0"/>
        <w:ind w:left="0"/>
        <w:jc w:val="both"/>
      </w:pPr>
      <w:r>
        <w:rPr>
          <w:rFonts w:ascii="Times New Roman"/>
          <w:b w:val="false"/>
          <w:i w:val="false"/>
          <w:color w:val="000000"/>
          <w:sz w:val="28"/>
        </w:rPr>
        <w:t>для осуществления обмена трафиком с зарубежным оператором связи:______________________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зарубежного оператора связи)</w:t>
      </w:r>
    </w:p>
    <w:p>
      <w:pPr>
        <w:spacing w:after="0"/>
        <w:ind w:left="0"/>
        <w:jc w:val="both"/>
      </w:pPr>
      <w:r>
        <w:rPr>
          <w:rFonts w:ascii="Times New Roman"/>
          <w:b w:val="false"/>
          <w:i w:val="false"/>
          <w:color w:val="000000"/>
          <w:sz w:val="28"/>
        </w:rPr>
        <w:t>______________________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системы централизованного</w:t>
            </w:r>
            <w:r>
              <w:br/>
            </w:r>
            <w:r>
              <w:rPr>
                <w:rFonts w:ascii="Times New Roman"/>
                <w:b w:val="false"/>
                <w:i w:val="false"/>
                <w:color w:val="000000"/>
                <w:sz w:val="20"/>
              </w:rPr>
              <w:t>управления сетями телекоммуникаций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 w:id="84"/>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расформировании международной точки стыка</w:t>
      </w:r>
      <w:r>
        <w:br/>
      </w:r>
      <w:r>
        <w:rPr>
          <w:rFonts w:ascii="Times New Roman"/>
          <w:b/>
          <w:i w:val="false"/>
          <w:color w:val="000000"/>
        </w:rPr>
        <w:t xml:space="preserve">                   с зарубежными операторами связи</w:t>
      </w:r>
    </w:p>
    <w:bookmarkEnd w:id="84"/>
    <w:p>
      <w:pPr>
        <w:spacing w:after="0"/>
        <w:ind w:left="0"/>
        <w:jc w:val="both"/>
      </w:pPr>
      <w:bookmarkStart w:name="z100" w:id="85"/>
      <w:r>
        <w:rPr>
          <w:rFonts w:ascii="Times New Roman"/>
          <w:b w:val="false"/>
          <w:i w:val="false"/>
          <w:color w:val="000000"/>
          <w:sz w:val="28"/>
        </w:rPr>
        <w:t>
      Регистрационный номер стыка</w:t>
      </w:r>
    </w:p>
    <w:bookmarkEnd w:id="85"/>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(присвоенный государственной технической службой)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физического лица или наименование</w:t>
      </w:r>
    </w:p>
    <w:p>
      <w:pPr>
        <w:spacing w:after="0"/>
        <w:ind w:left="0"/>
        <w:jc w:val="both"/>
      </w:pPr>
      <w:r>
        <w:rPr>
          <w:rFonts w:ascii="Times New Roman"/>
          <w:b w:val="false"/>
          <w:i w:val="false"/>
          <w:color w:val="000000"/>
          <w:sz w:val="28"/>
        </w:rPr>
        <w:t xml:space="preserve">                                юридического лица)</w:t>
      </w:r>
    </w:p>
    <w:p>
      <w:pPr>
        <w:spacing w:after="0"/>
        <w:ind w:left="0"/>
        <w:jc w:val="both"/>
      </w:pPr>
      <w:r>
        <w:rPr>
          <w:rFonts w:ascii="Times New Roman"/>
          <w:b w:val="false"/>
          <w:i w:val="false"/>
          <w:color w:val="000000"/>
          <w:sz w:val="28"/>
        </w:rPr>
        <w:t>расформировывает стык__________________________________________________________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(географические координаты стыка, сведения об оборудовании и его месторасположение)</w:t>
      </w:r>
    </w:p>
    <w:p>
      <w:pPr>
        <w:spacing w:after="0"/>
        <w:ind w:left="0"/>
        <w:jc w:val="both"/>
      </w:pPr>
      <w:r>
        <w:rPr>
          <w:rFonts w:ascii="Times New Roman"/>
          <w:b w:val="false"/>
          <w:i w:val="false"/>
          <w:color w:val="000000"/>
          <w:sz w:val="28"/>
        </w:rPr>
        <w:t>по причине_____________________________________________________________________</w:t>
      </w:r>
    </w:p>
    <w:p>
      <w:pPr>
        <w:spacing w:after="0"/>
        <w:ind w:left="0"/>
        <w:jc w:val="both"/>
      </w:pPr>
      <w:r>
        <w:rPr>
          <w:rFonts w:ascii="Times New Roman"/>
          <w:b w:val="false"/>
          <w:i w:val="false"/>
          <w:color w:val="000000"/>
          <w:sz w:val="28"/>
        </w:rPr>
        <w:t xml:space="preserve">                          (причина расформирования стыка)</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системы централизованного</w:t>
            </w:r>
            <w:r>
              <w:br/>
            </w:r>
            <w:r>
              <w:rPr>
                <w:rFonts w:ascii="Times New Roman"/>
                <w:b w:val="false"/>
                <w:i w:val="false"/>
                <w:color w:val="000000"/>
                <w:sz w:val="20"/>
              </w:rPr>
              <w:t>управления сетями телекоммуникаций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 w:id="86"/>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выдачу технических условий присоединения к системе централизованного</w:t>
      </w:r>
      <w:r>
        <w:br/>
      </w:r>
      <w:r>
        <w:rPr>
          <w:rFonts w:ascii="Times New Roman"/>
          <w:b/>
          <w:i w:val="false"/>
          <w:color w:val="000000"/>
        </w:rPr>
        <w:t xml:space="preserve">                   управления сетями телекоммуникаций</w:t>
      </w:r>
    </w:p>
    <w:bookmarkEnd w:id="86"/>
    <w:p>
      <w:pPr>
        <w:spacing w:after="0"/>
        <w:ind w:left="0"/>
        <w:jc w:val="both"/>
      </w:pPr>
      <w:bookmarkStart w:name="z104" w:id="87"/>
      <w:r>
        <w:rPr>
          <w:rFonts w:ascii="Times New Roman"/>
          <w:b w:val="false"/>
          <w:i w:val="false"/>
          <w:color w:val="000000"/>
          <w:sz w:val="28"/>
        </w:rPr>
        <w:t>
      Оператор междугородной и (или) международной связи</w:t>
      </w:r>
    </w:p>
    <w:bookmarkEnd w:id="87"/>
    <w:p>
      <w:pPr>
        <w:spacing w:after="0"/>
        <w:ind w:left="0"/>
        <w:jc w:val="both"/>
      </w:pPr>
      <w:r>
        <w:rPr>
          <w:rFonts w:ascii="Times New Roman"/>
          <w:b w:val="false"/>
          <w:i w:val="false"/>
          <w:color w:val="000000"/>
          <w:sz w:val="28"/>
        </w:rPr>
        <w:t xml:space="preserve"> ________________________ в лице ___________________________________________,</w:t>
      </w:r>
    </w:p>
    <w:p>
      <w:pPr>
        <w:spacing w:after="0"/>
        <w:ind w:left="0"/>
        <w:jc w:val="both"/>
      </w:pPr>
      <w:r>
        <w:rPr>
          <w:rFonts w:ascii="Times New Roman"/>
          <w:b w:val="false"/>
          <w:i w:val="false"/>
          <w:color w:val="000000"/>
          <w:sz w:val="28"/>
        </w:rPr>
        <w:t xml:space="preserve">        (оператор связи)              (фамилия, имя, отчество (при наличии), должность)</w:t>
      </w:r>
    </w:p>
    <w:p>
      <w:pPr>
        <w:spacing w:after="0"/>
        <w:ind w:left="0"/>
        <w:jc w:val="both"/>
      </w:pPr>
      <w:r>
        <w:rPr>
          <w:rFonts w:ascii="Times New Roman"/>
          <w:b w:val="false"/>
          <w:i w:val="false"/>
          <w:color w:val="000000"/>
          <w:sz w:val="28"/>
        </w:rPr>
        <w:t xml:space="preserve">       действующий на основании ___________________________________________ </w:t>
      </w:r>
    </w:p>
    <w:p>
      <w:pPr>
        <w:spacing w:after="0"/>
        <w:ind w:left="0"/>
        <w:jc w:val="both"/>
      </w:pPr>
      <w:r>
        <w:rPr>
          <w:rFonts w:ascii="Times New Roman"/>
          <w:b w:val="false"/>
          <w:i w:val="false"/>
          <w:color w:val="000000"/>
          <w:sz w:val="28"/>
        </w:rPr>
        <w:t xml:space="preserve">       просит выдать технические условия присоединения к системе централизованного</w:t>
      </w:r>
    </w:p>
    <w:p>
      <w:pPr>
        <w:spacing w:after="0"/>
        <w:ind w:left="0"/>
        <w:jc w:val="both"/>
      </w:pPr>
      <w:r>
        <w:rPr>
          <w:rFonts w:ascii="Times New Roman"/>
          <w:b w:val="false"/>
          <w:i w:val="false"/>
          <w:color w:val="000000"/>
          <w:sz w:val="28"/>
        </w:rPr>
        <w:t xml:space="preserve"> управления сетями телекоммуникаций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 Место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подключения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каналов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Пропускная способность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ответственного исполнителя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ответственного исполнителя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 w:id="88"/>
      <w:r>
        <w:rPr>
          <w:rFonts w:ascii="Times New Roman"/>
          <w:b w:val="false"/>
          <w:i w:val="false"/>
          <w:color w:val="000000"/>
          <w:sz w:val="28"/>
        </w:rPr>
        <w:t>
      "____" ______________ 20___ года</w:t>
      </w:r>
    </w:p>
    <w:bookmarkEnd w:id="88"/>
    <w:p>
      <w:pPr>
        <w:spacing w:after="0"/>
        <w:ind w:left="0"/>
        <w:jc w:val="both"/>
      </w:pPr>
      <w:r>
        <w:rPr>
          <w:rFonts w:ascii="Times New Roman"/>
          <w:b w:val="false"/>
          <w:i w:val="false"/>
          <w:color w:val="000000"/>
          <w:sz w:val="28"/>
        </w:rPr>
        <w:t xml:space="preserve">       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системы централизованного</w:t>
            </w:r>
            <w:r>
              <w:br/>
            </w:r>
            <w:r>
              <w:rPr>
                <w:rFonts w:ascii="Times New Roman"/>
                <w:b w:val="false"/>
                <w:i w:val="false"/>
                <w:color w:val="000000"/>
                <w:sz w:val="20"/>
              </w:rPr>
              <w:t>управления сетями телекоммуникаций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__________20___года</w:t>
            </w:r>
          </w:p>
        </w:tc>
      </w:tr>
    </w:tbl>
    <w:bookmarkStart w:name="z109" w:id="89"/>
    <w:p>
      <w:pPr>
        <w:spacing w:after="0"/>
        <w:ind w:left="0"/>
        <w:jc w:val="left"/>
      </w:pPr>
      <w:r>
        <w:rPr>
          <w:rFonts w:ascii="Times New Roman"/>
          <w:b/>
          <w:i w:val="false"/>
          <w:color w:val="000000"/>
        </w:rPr>
        <w:t xml:space="preserve">                          ТЕХНИЧЕСКИЕ УСЛОВИЯ №___ </w:t>
      </w:r>
      <w:r>
        <w:br/>
      </w:r>
      <w:r>
        <w:rPr>
          <w:rFonts w:ascii="Times New Roman"/>
          <w:b/>
          <w:i w:val="false"/>
          <w:color w:val="000000"/>
        </w:rPr>
        <w:t>присоединения к системе централизованного управления сетями телекоммуникаций</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оператора междугородной и международной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объекта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внешнего интернет-канала оператора междугородной и (или) международной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подключения от оператора междугородной и (или) международной связи до системы централизованного управления сетями телекоммуникаций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подключения от системы централизованного управления сетями телекоммуникаций Республики Казахстан до оператора междугородной и (или) международной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подключения к системе централизованного управления сетями телекоммуникаций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канала согласно нумерации государственной технической службы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технического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от государственной технической службы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