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91b4" w14:textId="1019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и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декабря 2022 года № 120. Зарегистрирован в Министерстве юстиции Республики Казахстан 7 декабря 2022 года № 30996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(зарегистрирован в Реестре государственной регистрации нормативных правовых актов под № 5604)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 концессиях"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(далее – Методика)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 концессиях" (далее – Закон).";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"10. На этапе передачи объекта концессии в собственность государства стоимость объекта концессии определяется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оценочной деятельности в Республики Казахстан" (далее – Закон об оценочной деятельности).";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"23.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концессии, начисленного за 1 период начисления и 1 месяц, либо за период в соответствии с условиями договора:</w:t>
      </w:r>
    </w:p>
    <w:bookmarkEnd w:id="6"/>
    <w:bookmarkStart w:name="z15" w:id="7"/>
    <w:p>
      <w:pPr>
        <w:spacing w:after="0"/>
        <w:ind w:left="0"/>
        <w:jc w:val="both"/>
      </w:pPr>
      <w:r>
        <w:rPr>
          <w:rFonts w:ascii="Times New Roman"/>
          <w:b w:val="false"/>
          <w:i w:val="false"/>
          <w:color w:val="000000"/>
          <w:sz w:val="28"/>
        </w:rPr>
        <w:t>
      Г = D*(1 + r/p + r/12) (4),</w:t>
      </w:r>
    </w:p>
    <w:bookmarkEnd w:id="7"/>
    <w:bookmarkStart w:name="z16" w:id="8"/>
    <w:p>
      <w:pPr>
        <w:spacing w:after="0"/>
        <w:ind w:left="0"/>
        <w:jc w:val="both"/>
      </w:pPr>
      <w:r>
        <w:rPr>
          <w:rFonts w:ascii="Times New Roman"/>
          <w:b w:val="false"/>
          <w:i w:val="false"/>
          <w:color w:val="000000"/>
          <w:sz w:val="28"/>
        </w:rPr>
        <w:t>
      где:</w:t>
      </w:r>
    </w:p>
    <w:bookmarkEnd w:id="8"/>
    <w:bookmarkStart w:name="z17" w:id="9"/>
    <w:p>
      <w:pPr>
        <w:spacing w:after="0"/>
        <w:ind w:left="0"/>
        <w:jc w:val="both"/>
      </w:pPr>
      <w:r>
        <w:rPr>
          <w:rFonts w:ascii="Times New Roman"/>
          <w:b w:val="false"/>
          <w:i w:val="false"/>
          <w:color w:val="000000"/>
          <w:sz w:val="28"/>
        </w:rPr>
        <w:t>
      Г – стоимость государственных гарантий;</w:t>
      </w:r>
    </w:p>
    <w:bookmarkEnd w:id="9"/>
    <w:bookmarkStart w:name="z18" w:id="10"/>
    <w:p>
      <w:pPr>
        <w:spacing w:after="0"/>
        <w:ind w:left="0"/>
        <w:jc w:val="both"/>
      </w:pPr>
      <w:r>
        <w:rPr>
          <w:rFonts w:ascii="Times New Roman"/>
          <w:b w:val="false"/>
          <w:i w:val="false"/>
          <w:color w:val="000000"/>
          <w:sz w:val="28"/>
        </w:rPr>
        <w:t>
      D – сумма основного долга по займу, гарантируемому государством;</w:t>
      </w:r>
    </w:p>
    <w:bookmarkEnd w:id="10"/>
    <w:bookmarkStart w:name="z19" w:id="11"/>
    <w:p>
      <w:pPr>
        <w:spacing w:after="0"/>
        <w:ind w:left="0"/>
        <w:jc w:val="both"/>
      </w:pPr>
      <w:r>
        <w:rPr>
          <w:rFonts w:ascii="Times New Roman"/>
          <w:b w:val="false"/>
          <w:i w:val="false"/>
          <w:color w:val="000000"/>
          <w:sz w:val="28"/>
        </w:rPr>
        <w:t xml:space="preserve">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статьей 19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 +1% (для займов в национальной валюте);</w:t>
      </w:r>
    </w:p>
    <w:bookmarkEnd w:id="11"/>
    <w:bookmarkStart w:name="z20" w:id="12"/>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2"/>
    <w:bookmarkStart w:name="z21"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под № 12717) следующие изменения:</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течение 15 (пятнадцать) рабочих дней со дня ее поступления, определяет:</w:t>
      </w:r>
    </w:p>
    <w:bookmarkEnd w:id="15"/>
    <w:bookmarkStart w:name="z25" w:id="16"/>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с указанием на принадлежность проекта к технически сложным и (или) уникальным;</w:t>
      </w:r>
    </w:p>
    <w:bookmarkEnd w:id="16"/>
    <w:bookmarkStart w:name="z26" w:id="17"/>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17"/>
    <w:bookmarkStart w:name="z27" w:id="18"/>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w:t>
      </w:r>
    </w:p>
    <w:bookmarkEnd w:id="18"/>
    <w:bookmarkStart w:name="z28" w:id="19"/>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w:t>
      </w:r>
    </w:p>
    <w:bookmarkEnd w:id="19"/>
    <w:bookmarkStart w:name="z29" w:id="20"/>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 по форме согласно приложению 8 к настоящим Правилам.</w:t>
      </w:r>
    </w:p>
    <w:bookmarkEnd w:id="20"/>
    <w:bookmarkStart w:name="z30" w:id="21"/>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за подписью первого руководителя, в случае его отсутствия лица, его замещающего или лица уполномоченного им, которое направляется частному партнеру, инициировавшему проект ГЧП в срок не более 2 (двух) рабочих дней с момента подготовки.</w:t>
      </w:r>
    </w:p>
    <w:bookmarkEnd w:id="21"/>
    <w:bookmarkStart w:name="z31" w:id="22"/>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22"/>
    <w:bookmarkStart w:name="z32" w:id="23"/>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23"/>
    <w:bookmarkStart w:name="z33" w:id="24"/>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24"/>
    <w:bookmarkStart w:name="z34" w:id="25"/>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25"/>
    <w:bookmarkStart w:name="z35" w:id="26"/>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26"/>
    <w:bookmarkStart w:name="z36" w:id="27"/>
    <w:p>
      <w:pPr>
        <w:spacing w:after="0"/>
        <w:ind w:left="0"/>
        <w:jc w:val="both"/>
      </w:pPr>
      <w:r>
        <w:rPr>
          <w:rFonts w:ascii="Times New Roman"/>
          <w:b w:val="false"/>
          <w:i w:val="false"/>
          <w:color w:val="000000"/>
          <w:sz w:val="28"/>
        </w:rPr>
        <w:t xml:space="preserve">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в срок не более 5 (пяти) рабочих дней с момента подготовки.</w:t>
      </w:r>
    </w:p>
    <w:bookmarkEnd w:id="27"/>
    <w:bookmarkStart w:name="z37" w:id="28"/>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уполномоченного лица (организатора прямых переговоров) о соответствии либо несоответствии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"136. Потенциальные частные партнеры представляют альтернативные предложения в письменной форме, в течение следующего срока, исчисляемого с даты первой публикации извещения в периодическом печатном издании, распространяемом на всей территории Республики Казахстан:</w:t>
      </w:r>
    </w:p>
    <w:bookmarkEnd w:id="29"/>
    <w:bookmarkStart w:name="z40" w:id="30"/>
    <w:p>
      <w:pPr>
        <w:spacing w:after="0"/>
        <w:ind w:left="0"/>
        <w:jc w:val="both"/>
      </w:pPr>
      <w:r>
        <w:rPr>
          <w:rFonts w:ascii="Times New Roman"/>
          <w:b w:val="false"/>
          <w:i w:val="false"/>
          <w:color w:val="000000"/>
          <w:sz w:val="28"/>
        </w:rPr>
        <w:t>
      60 (шестьдесят) календарных дней – по проектам, являющимся технически сложными и (или) уникальными;</w:t>
      </w:r>
    </w:p>
    <w:bookmarkEnd w:id="30"/>
    <w:bookmarkStart w:name="z41" w:id="31"/>
    <w:p>
      <w:pPr>
        <w:spacing w:after="0"/>
        <w:ind w:left="0"/>
        <w:jc w:val="both"/>
      </w:pPr>
      <w:r>
        <w:rPr>
          <w:rFonts w:ascii="Times New Roman"/>
          <w:b w:val="false"/>
          <w:i w:val="false"/>
          <w:color w:val="000000"/>
          <w:sz w:val="28"/>
        </w:rPr>
        <w:t>
      30 (тридцать) календарных дней – по остальным проектам.";</w:t>
      </w:r>
    </w:p>
    <w:bookmarkEnd w:id="31"/>
    <w:bookmarkStart w:name="z4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141</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абзац двадцатый изложить в следующей редакции:</w:t>
      </w:r>
    </w:p>
    <w:bookmarkEnd w:id="33"/>
    <w:bookmarkStart w:name="z44" w:id="34"/>
    <w:p>
      <w:pPr>
        <w:spacing w:after="0"/>
        <w:ind w:left="0"/>
        <w:jc w:val="both"/>
      </w:pPr>
      <w:r>
        <w:rPr>
          <w:rFonts w:ascii="Times New Roman"/>
          <w:b w:val="false"/>
          <w:i w:val="false"/>
          <w:color w:val="000000"/>
          <w:sz w:val="28"/>
        </w:rPr>
        <w:t xml:space="preserve">
      "Отраслевая экспертиза бизнес-плана к проекту ГЧП приводится по форме Отраслевого заключения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срок не более 10 (десяти) рабочих дней с момента его внесения.";</w:t>
      </w:r>
    </w:p>
    <w:bookmarkEnd w:id="34"/>
    <w:bookmarkStart w:name="z45" w:id="35"/>
    <w:p>
      <w:pPr>
        <w:spacing w:after="0"/>
        <w:ind w:left="0"/>
        <w:jc w:val="both"/>
      </w:pPr>
      <w:r>
        <w:rPr>
          <w:rFonts w:ascii="Times New Roman"/>
          <w:b w:val="false"/>
          <w:i w:val="false"/>
          <w:color w:val="000000"/>
          <w:sz w:val="28"/>
        </w:rPr>
        <w:t>
      абзац тридцать третий изложить в следующей редакции:</w:t>
      </w:r>
    </w:p>
    <w:bookmarkEnd w:id="35"/>
    <w:bookmarkStart w:name="z46" w:id="36"/>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 со дня внесения бизнес-плана к проекту ГЧП по проектам, являющимся технически сложными и (или) уникальными.</w:t>
      </w:r>
    </w:p>
    <w:bookmarkEnd w:id="37"/>
    <w:bookmarkStart w:name="z49" w:id="38"/>
    <w:p>
      <w:pPr>
        <w:spacing w:after="0"/>
        <w:ind w:left="0"/>
        <w:jc w:val="both"/>
      </w:pPr>
      <w:r>
        <w:rPr>
          <w:rFonts w:ascii="Times New Roman"/>
          <w:b w:val="false"/>
          <w:i w:val="false"/>
          <w:color w:val="000000"/>
          <w:sz w:val="28"/>
        </w:rPr>
        <w:t>
      По остальным проектам срок экспертизы – в течение 15 (пятнадцати) рабочих дней со дня внесения бизнес-плана к проекту ГЧП.";</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39"/>
    <w:bookmarkStart w:name="z52" w:id="40"/>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40"/>
    <w:bookmarkStart w:name="z53" w:id="41"/>
    <w:p>
      <w:pPr>
        <w:spacing w:after="0"/>
        <w:ind w:left="0"/>
        <w:jc w:val="both"/>
      </w:pPr>
      <w:r>
        <w:rPr>
          <w:rFonts w:ascii="Times New Roman"/>
          <w:b w:val="false"/>
          <w:i w:val="false"/>
          <w:color w:val="000000"/>
          <w:sz w:val="28"/>
        </w:rPr>
        <w:t>
      Организатор прямых переговоров в срок не более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41"/>
    <w:bookmarkStart w:name="z54" w:id="42"/>
    <w:p>
      <w:pPr>
        <w:spacing w:after="0"/>
        <w:ind w:left="0"/>
        <w:jc w:val="both"/>
      </w:pPr>
      <w:r>
        <w:rPr>
          <w:rFonts w:ascii="Times New Roman"/>
          <w:b w:val="false"/>
          <w:i w:val="false"/>
          <w:color w:val="000000"/>
          <w:sz w:val="28"/>
        </w:rPr>
        <w:t>
      Потенциальный частный партнер, инициировавший проект ГЧП, в срок не более 15 (пятнадцати) рабочих дней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42"/>
    <w:bookmarkStart w:name="z55" w:id="43"/>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43"/>
    <w:bookmarkStart w:name="z56" w:id="44"/>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w:t>
      </w:r>
    </w:p>
    <w:bookmarkEnd w:id="45"/>
    <w:bookmarkStart w:name="z59" w:id="46"/>
    <w:p>
      <w:pPr>
        <w:spacing w:after="0"/>
        <w:ind w:left="0"/>
        <w:jc w:val="both"/>
      </w:pPr>
      <w:r>
        <w:rPr>
          <w:rFonts w:ascii="Times New Roman"/>
          <w:b w:val="false"/>
          <w:i w:val="false"/>
          <w:color w:val="000000"/>
          <w:sz w:val="28"/>
        </w:rPr>
        <w:t>
      153.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"157. Организатором прямых переговоров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164</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"164. Местные уполномоченные органы по государственному планированию уведомляют центральный уполномоченный орган по государственному планированию и Центр развития ГЧП о заключенных договорах ГЧП по местным проектам ГЧП не позднее 5 (пяти) рабочих дней с момента их заключения.".</w:t>
      </w:r>
    </w:p>
    <w:bookmarkEnd w:id="48"/>
    <w:bookmarkStart w:name="z64" w:id="49"/>
    <w:p>
      <w:pPr>
        <w:spacing w:after="0"/>
        <w:ind w:left="0"/>
        <w:jc w:val="both"/>
      </w:pPr>
      <w:r>
        <w:rPr>
          <w:rFonts w:ascii="Times New Roman"/>
          <w:b w:val="false"/>
          <w:i w:val="false"/>
          <w:color w:val="000000"/>
          <w:sz w:val="28"/>
        </w:rPr>
        <w:t>
      3.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49"/>
    <w:bookmarkStart w:name="z65" w:id="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
    <w:bookmarkStart w:name="z66"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1"/>
    <w:bookmarkStart w:name="z67" w:id="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2"/>
    <w:bookmarkStart w:name="z68" w:id="5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53"/>
    <w:bookmarkStart w:name="z69" w:id="5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71"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