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d5722" w14:textId="50d57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12 декабря 2022 года № 122. Зарегистрирован в Министерстве юстиции Республики Казахстан 14 декабря 2022 года № 31098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Вводится в действие с </w:t>
      </w:r>
      <w:r>
        <w:rPr>
          <w:rFonts w:ascii="Times New Roman"/>
          <w:b w:val="false"/>
          <w:i w:val="false"/>
          <w:color w:val="ff0000"/>
          <w:sz w:val="28"/>
        </w:rPr>
        <w:t>01.01.2023</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26 июля 2016 года № 332 "Об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 (зарегистрирован в Реестре государственной регистрации нормативных правовых актов за № 14167)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с 1 января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2022 года № 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19" w:id="10"/>
    <w:p>
      <w:pPr>
        <w:spacing w:after="0"/>
        <w:ind w:left="0"/>
        <w:jc w:val="left"/>
      </w:pPr>
      <w:r>
        <w:rPr>
          <w:rFonts w:ascii="Times New Roman"/>
          <w:b/>
          <w:i w:val="false"/>
          <w:color w:val="000000"/>
        </w:rPr>
        <w:t xml:space="preserve">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критерии оценки степени риска в сферах естественных монополий и за соблюдением порядка ценообразования и обязанностей субъекта общественно значимого рынка (далее – Критерии) разработаны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Республики Казахстан (далее – Кодекс),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(далее – Закон),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за № 28577) и </w:t>
      </w:r>
      <w:r>
        <w:rPr>
          <w:rFonts w:ascii="Times New Roman"/>
          <w:b w:val="false"/>
          <w:i w:val="false"/>
          <w:color w:val="000000"/>
          <w:sz w:val="28"/>
        </w:rPr>
        <w:t>Формами</w:t>
      </w:r>
      <w:r>
        <w:rPr>
          <w:rFonts w:ascii="Times New Roman"/>
          <w:b w:val="false"/>
          <w:i w:val="false"/>
          <w:color w:val="000000"/>
          <w:sz w:val="28"/>
        </w:rPr>
        <w:t xml:space="preserve"> проверочного листа,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w:t>
      </w:r>
    </w:p>
    <w:bookmarkEnd w:id="12"/>
    <w:bookmarkStart w:name="z22" w:id="13"/>
    <w:p>
      <w:pPr>
        <w:spacing w:after="0"/>
        <w:ind w:left="0"/>
        <w:jc w:val="both"/>
      </w:pPr>
      <w:r>
        <w:rPr>
          <w:rFonts w:ascii="Times New Roman"/>
          <w:b w:val="false"/>
          <w:i w:val="false"/>
          <w:color w:val="000000"/>
          <w:sz w:val="28"/>
        </w:rPr>
        <w:t>
      2. В данных Критериях использованы следующие понятия:</w:t>
      </w:r>
    </w:p>
    <w:bookmarkEnd w:id="13"/>
    <w:bookmarkStart w:name="z23" w:id="14"/>
    <w:p>
      <w:pPr>
        <w:spacing w:after="0"/>
        <w:ind w:left="0"/>
        <w:jc w:val="both"/>
      </w:pPr>
      <w:r>
        <w:rPr>
          <w:rFonts w:ascii="Times New Roman"/>
          <w:b w:val="false"/>
          <w:i w:val="false"/>
          <w:color w:val="000000"/>
          <w:sz w:val="28"/>
        </w:rPr>
        <w:t>
      1) субъект контроля – индивидуальные предприниматели и юридические лица, в том числе филиалы и представительства юридических лиц, являющиеся субъектами естественной монополии и (или) общественно значимых рынков;</w:t>
      </w:r>
    </w:p>
    <w:bookmarkEnd w:id="14"/>
    <w:bookmarkStart w:name="z24" w:id="15"/>
    <w:p>
      <w:pPr>
        <w:spacing w:after="0"/>
        <w:ind w:left="0"/>
        <w:jc w:val="both"/>
      </w:pPr>
      <w:r>
        <w:rPr>
          <w:rFonts w:ascii="Times New Roman"/>
          <w:b w:val="false"/>
          <w:i w:val="false"/>
          <w:color w:val="000000"/>
          <w:sz w:val="28"/>
        </w:rPr>
        <w:t>
      2) незначительные нарушения – ненадлежащее размещение, публикация, доведение до сведения и уведомление потребителей и предоставление субъектами естественных монополий и общественно значимых рынков информации, отчета, уведомлений в уполномоченный орган; не заключение в соответствии с типовыми договорами, договоров с потребителями; отчуждение имущества не на торгах; взимание платы за предоставление информации о свободных мощностях; неисполнение тарифной сметы и инвестиционной программы; наличие одной подтвержденной жалобы или обращения по несоблюдению требований законодательства Республики Казахстан субъектами в области общественно значимых рынков;</w:t>
      </w:r>
    </w:p>
    <w:bookmarkEnd w:id="15"/>
    <w:bookmarkStart w:name="z25" w:id="16"/>
    <w:p>
      <w:pPr>
        <w:spacing w:after="0"/>
        <w:ind w:left="0"/>
        <w:jc w:val="both"/>
      </w:pPr>
      <w:r>
        <w:rPr>
          <w:rFonts w:ascii="Times New Roman"/>
          <w:b w:val="false"/>
          <w:i w:val="false"/>
          <w:color w:val="000000"/>
          <w:sz w:val="28"/>
        </w:rPr>
        <w:t>
      3) значительные нарушения – наличие одной подтвержденной жалобы или обращения по несоблюдению требований законодательства Республики Казахстан о естественных монополий, неисполнение или ненадлежащее исполнение субъектами естественных монополий и общественно значимых рынков обязанностей, ограничений и требований, регламентированных законодательством Республики Казахстан о естественных монополиях и в области общественно значимых рынков, за исключением обязанностей, ограничений и требований предусматривающих незначительные и грубые нарушения; не соблюдение требований по обращению с заявлением в уполномоченный орган для утверждения тарифа, а также о включении в Государственный регистр субъектов естественных монополий, об исключении из него;</w:t>
      </w:r>
    </w:p>
    <w:bookmarkEnd w:id="16"/>
    <w:bookmarkStart w:name="z26" w:id="17"/>
    <w:p>
      <w:pPr>
        <w:spacing w:after="0"/>
        <w:ind w:left="0"/>
        <w:jc w:val="both"/>
      </w:pPr>
      <w:r>
        <w:rPr>
          <w:rFonts w:ascii="Times New Roman"/>
          <w:b w:val="false"/>
          <w:i w:val="false"/>
          <w:color w:val="000000"/>
          <w:sz w:val="28"/>
        </w:rPr>
        <w:t>
      4) грубые нарушения – необоснованный доход (выручка), полученный субъектами естественных монополий и общественно значимых рынков в результате нарушения законодательства Республики Казахстан;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 и общественно значимых рынках;</w:t>
      </w:r>
    </w:p>
    <w:bookmarkEnd w:id="17"/>
    <w:bookmarkStart w:name="z27" w:id="18"/>
    <w:p>
      <w:pPr>
        <w:spacing w:after="0"/>
        <w:ind w:left="0"/>
        <w:jc w:val="both"/>
      </w:pPr>
      <w:r>
        <w:rPr>
          <w:rFonts w:ascii="Times New Roman"/>
          <w:b w:val="false"/>
          <w:i w:val="false"/>
          <w:color w:val="000000"/>
          <w:sz w:val="28"/>
        </w:rPr>
        <w:t>
      5) риск в сфере предоставления услуг (товаров, работ), отнесенных к естественным монополиям и общественно значимых рынков – вероятность причинения вреда законным интересам физических и юридических лиц;</w:t>
      </w:r>
    </w:p>
    <w:bookmarkEnd w:id="18"/>
    <w:bookmarkStart w:name="z28" w:id="19"/>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9"/>
    <w:bookmarkStart w:name="z29" w:id="20"/>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0"/>
    <w:bookmarkStart w:name="z30" w:id="21"/>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профилактического контроля с посещением субъекта (объекта) контроля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w:t>
      </w:r>
    </w:p>
    <w:bookmarkEnd w:id="21"/>
    <w:bookmarkStart w:name="z31" w:id="22"/>
    <w:p>
      <w:pPr>
        <w:spacing w:after="0"/>
        <w:ind w:left="0"/>
        <w:jc w:val="both"/>
      </w:pPr>
      <w:r>
        <w:rPr>
          <w:rFonts w:ascii="Times New Roman"/>
          <w:b w:val="false"/>
          <w:i w:val="false"/>
          <w:color w:val="000000"/>
          <w:sz w:val="28"/>
        </w:rPr>
        <w:t>
      9) проверочный лист – перечень обязательных требований, предъявляемых к деятельности субъектов (объектов)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22"/>
    <w:bookmarkStart w:name="z32" w:id="23"/>
    <w:p>
      <w:pPr>
        <w:spacing w:after="0"/>
        <w:ind w:left="0"/>
        <w:jc w:val="both"/>
      </w:pPr>
      <w:r>
        <w:rPr>
          <w:rFonts w:ascii="Times New Roman"/>
          <w:b w:val="false"/>
          <w:i w:val="false"/>
          <w:color w:val="000000"/>
          <w:sz w:val="28"/>
        </w:rPr>
        <w:t>
      10) уполномоченный орган – государственный орган, осуществляющий руководство в соответствующих сферах естественных монополий.</w:t>
      </w:r>
    </w:p>
    <w:bookmarkEnd w:id="23"/>
    <w:bookmarkStart w:name="z33" w:id="24"/>
    <w:p>
      <w:pPr>
        <w:spacing w:after="0"/>
        <w:ind w:left="0"/>
        <w:jc w:val="both"/>
      </w:pPr>
      <w:r>
        <w:rPr>
          <w:rFonts w:ascii="Times New Roman"/>
          <w:b w:val="false"/>
          <w:i w:val="false"/>
          <w:color w:val="000000"/>
          <w:sz w:val="28"/>
        </w:rPr>
        <w:t>
      3. Для сфер деятельности субъектов (объектов) контроля, отнесенных к высокой и средней степени риска, проводятся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4"/>
    <w:bookmarkStart w:name="z34" w:id="25"/>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проводятся профилактический контроль без посещения субъекта (объекта) контроля и внеплановая проверка.</w:t>
      </w:r>
    </w:p>
    <w:bookmarkEnd w:id="25"/>
    <w:bookmarkStart w:name="z35" w:id="26"/>
    <w:p>
      <w:pPr>
        <w:spacing w:after="0"/>
        <w:ind w:left="0"/>
        <w:jc w:val="both"/>
      </w:pPr>
      <w:r>
        <w:rPr>
          <w:rFonts w:ascii="Times New Roman"/>
          <w:b w:val="false"/>
          <w:i w:val="false"/>
          <w:color w:val="000000"/>
          <w:sz w:val="28"/>
        </w:rPr>
        <w:t>
      4. Критерии оценки степени риска для проведения профилактического контроля субъектов (объектов) контроля формируются посредством определения объективных и субъективных критериев.</w:t>
      </w:r>
    </w:p>
    <w:bookmarkEnd w:id="26"/>
    <w:bookmarkStart w:name="z36" w:id="27"/>
    <w:p>
      <w:pPr>
        <w:spacing w:after="0"/>
        <w:ind w:left="0"/>
        <w:jc w:val="left"/>
      </w:pPr>
      <w:r>
        <w:rPr>
          <w:rFonts w:ascii="Times New Roman"/>
          <w:b/>
          <w:i w:val="false"/>
          <w:color w:val="000000"/>
        </w:rPr>
        <w:t xml:space="preserve"> Глава 2. Объективные критерии</w:t>
      </w:r>
    </w:p>
    <w:bookmarkEnd w:id="27"/>
    <w:bookmarkStart w:name="z37" w:id="28"/>
    <w:p>
      <w:pPr>
        <w:spacing w:after="0"/>
        <w:ind w:left="0"/>
        <w:jc w:val="both"/>
      </w:pPr>
      <w:r>
        <w:rPr>
          <w:rFonts w:ascii="Times New Roman"/>
          <w:b w:val="false"/>
          <w:i w:val="false"/>
          <w:color w:val="000000"/>
          <w:sz w:val="28"/>
        </w:rPr>
        <w:t>
      5. Государственные органы для целей управления рисками при осуществлении профилактического контроля с посещением субъекта (объекта) контроля относят субъекты (объекты) контроля к одной из следующих степеням риска (далее – степени риска):</w:t>
      </w:r>
    </w:p>
    <w:bookmarkEnd w:id="28"/>
    <w:bookmarkStart w:name="z38" w:id="29"/>
    <w:p>
      <w:pPr>
        <w:spacing w:after="0"/>
        <w:ind w:left="0"/>
        <w:jc w:val="both"/>
      </w:pPr>
      <w:r>
        <w:rPr>
          <w:rFonts w:ascii="Times New Roman"/>
          <w:b w:val="false"/>
          <w:i w:val="false"/>
          <w:color w:val="000000"/>
          <w:sz w:val="28"/>
        </w:rPr>
        <w:t>
      1) высокий риск;</w:t>
      </w:r>
    </w:p>
    <w:bookmarkEnd w:id="29"/>
    <w:bookmarkStart w:name="z39" w:id="30"/>
    <w:p>
      <w:pPr>
        <w:spacing w:after="0"/>
        <w:ind w:left="0"/>
        <w:jc w:val="both"/>
      </w:pPr>
      <w:r>
        <w:rPr>
          <w:rFonts w:ascii="Times New Roman"/>
          <w:b w:val="false"/>
          <w:i w:val="false"/>
          <w:color w:val="000000"/>
          <w:sz w:val="28"/>
        </w:rPr>
        <w:t>
      2) средний риск;</w:t>
      </w:r>
    </w:p>
    <w:bookmarkEnd w:id="30"/>
    <w:bookmarkStart w:name="z40" w:id="31"/>
    <w:p>
      <w:pPr>
        <w:spacing w:after="0"/>
        <w:ind w:left="0"/>
        <w:jc w:val="both"/>
      </w:pPr>
      <w:r>
        <w:rPr>
          <w:rFonts w:ascii="Times New Roman"/>
          <w:b w:val="false"/>
          <w:i w:val="false"/>
          <w:color w:val="000000"/>
          <w:sz w:val="28"/>
        </w:rPr>
        <w:t>
      3) низкий риск.</w:t>
      </w:r>
    </w:p>
    <w:bookmarkEnd w:id="31"/>
    <w:bookmarkStart w:name="z41" w:id="32"/>
    <w:p>
      <w:pPr>
        <w:spacing w:after="0"/>
        <w:ind w:left="0"/>
        <w:jc w:val="both"/>
      </w:pPr>
      <w:r>
        <w:rPr>
          <w:rFonts w:ascii="Times New Roman"/>
          <w:b w:val="false"/>
          <w:i w:val="false"/>
          <w:color w:val="000000"/>
          <w:sz w:val="28"/>
        </w:rPr>
        <w:t>
      6. В сферах естественных монополий к высокой степени риска относятся субъекты естественных монополий,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 и получившие необоснованный доход (выручку), а также субъекты общественно значимого рынка.</w:t>
      </w:r>
    </w:p>
    <w:bookmarkEnd w:id="32"/>
    <w:bookmarkStart w:name="z42" w:id="33"/>
    <w:p>
      <w:pPr>
        <w:spacing w:after="0"/>
        <w:ind w:left="0"/>
        <w:jc w:val="both"/>
      </w:pPr>
      <w:r>
        <w:rPr>
          <w:rFonts w:ascii="Times New Roman"/>
          <w:b w:val="false"/>
          <w:i w:val="false"/>
          <w:color w:val="000000"/>
          <w:sz w:val="28"/>
        </w:rPr>
        <w:t>
      В сферах естественных монополий к средней степени риска относятся субъекты естественных монополий, включенные в Государственный регистр субъектов естественных монополий, осуществляющие регулируемые услуги отнесенные к сфере естественных монополий более одного календарного года.</w:t>
      </w:r>
    </w:p>
    <w:bookmarkEnd w:id="33"/>
    <w:bookmarkStart w:name="z43" w:id="34"/>
    <w:p>
      <w:pPr>
        <w:spacing w:after="0"/>
        <w:ind w:left="0"/>
        <w:jc w:val="both"/>
      </w:pPr>
      <w:r>
        <w:rPr>
          <w:rFonts w:ascii="Times New Roman"/>
          <w:b w:val="false"/>
          <w:i w:val="false"/>
          <w:color w:val="000000"/>
          <w:sz w:val="28"/>
        </w:rPr>
        <w:t>
      В сфере естественных монополий к низкой степени риска относятся вновь созданные субъекты естественных монополий, оказывающие регулируемые услуги отнесенные к сфере естественных монополий менее одного календарного года.</w:t>
      </w:r>
    </w:p>
    <w:bookmarkEnd w:id="34"/>
    <w:bookmarkStart w:name="z44" w:id="35"/>
    <w:p>
      <w:pPr>
        <w:spacing w:after="0"/>
        <w:ind w:left="0"/>
        <w:jc w:val="left"/>
      </w:pPr>
      <w:r>
        <w:rPr>
          <w:rFonts w:ascii="Times New Roman"/>
          <w:b/>
          <w:i w:val="false"/>
          <w:color w:val="000000"/>
        </w:rPr>
        <w:t xml:space="preserve"> Глава 3. Субъективные критерии</w:t>
      </w:r>
    </w:p>
    <w:bookmarkEnd w:id="35"/>
    <w:bookmarkStart w:name="z45" w:id="36"/>
    <w:p>
      <w:pPr>
        <w:spacing w:after="0"/>
        <w:ind w:left="0"/>
        <w:jc w:val="both"/>
      </w:pPr>
      <w:r>
        <w:rPr>
          <w:rFonts w:ascii="Times New Roman"/>
          <w:b w:val="false"/>
          <w:i w:val="false"/>
          <w:color w:val="000000"/>
          <w:sz w:val="28"/>
        </w:rPr>
        <w:t>
      7. Для определения субъективных критериев оценки степени рисков используются следующие источники информации:</w:t>
      </w:r>
    </w:p>
    <w:bookmarkEnd w:id="36"/>
    <w:bookmarkStart w:name="z46" w:id="37"/>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При этом, степень тяжести (грубое, значительное, незначительное) устанавливается в случае несоблюдения требований законодательства, отраженных в проверочных листах;</w:t>
      </w:r>
    </w:p>
    <w:bookmarkEnd w:id="37"/>
    <w:bookmarkStart w:name="z47" w:id="38"/>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(объектом) контроля, проводимого уполномоченным органом и (или) другими государственными органами;</w:t>
      </w:r>
    </w:p>
    <w:bookmarkEnd w:id="38"/>
    <w:bookmarkStart w:name="z48" w:id="39"/>
    <w:p>
      <w:pPr>
        <w:spacing w:after="0"/>
        <w:ind w:left="0"/>
        <w:jc w:val="both"/>
      </w:pPr>
      <w:r>
        <w:rPr>
          <w:rFonts w:ascii="Times New Roman"/>
          <w:b w:val="false"/>
          <w:i w:val="false"/>
          <w:color w:val="000000"/>
          <w:sz w:val="28"/>
        </w:rPr>
        <w:t>
      3) результаты анализа официальных интернет-ресурсов государственных органов и средств массовой информации;</w:t>
      </w:r>
    </w:p>
    <w:bookmarkEnd w:id="39"/>
    <w:bookmarkStart w:name="z49" w:id="40"/>
    <w:p>
      <w:pPr>
        <w:spacing w:after="0"/>
        <w:ind w:left="0"/>
        <w:jc w:val="both"/>
      </w:pPr>
      <w:r>
        <w:rPr>
          <w:rFonts w:ascii="Times New Roman"/>
          <w:b w:val="false"/>
          <w:i w:val="false"/>
          <w:color w:val="000000"/>
          <w:sz w:val="28"/>
        </w:rPr>
        <w:t>
      4)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bookmarkEnd w:id="40"/>
    <w:bookmarkStart w:name="z50" w:id="41"/>
    <w:p>
      <w:pPr>
        <w:spacing w:after="0"/>
        <w:ind w:left="0"/>
        <w:jc w:val="both"/>
      </w:pPr>
      <w:r>
        <w:rPr>
          <w:rFonts w:ascii="Times New Roman"/>
          <w:b w:val="false"/>
          <w:i w:val="false"/>
          <w:color w:val="000000"/>
          <w:sz w:val="28"/>
        </w:rPr>
        <w:t>
      5)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bookmarkEnd w:id="41"/>
    <w:bookmarkStart w:name="z51" w:id="42"/>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42"/>
    <w:bookmarkStart w:name="z52" w:id="43"/>
    <w:p>
      <w:pPr>
        <w:spacing w:after="0"/>
        <w:ind w:left="0"/>
        <w:jc w:val="both"/>
      </w:pPr>
      <w:r>
        <w:rPr>
          <w:rFonts w:ascii="Times New Roman"/>
          <w:b w:val="false"/>
          <w:i w:val="false"/>
          <w:color w:val="000000"/>
          <w:sz w:val="28"/>
        </w:rPr>
        <w:t>
      1) формирование базы данных и сбор информации;</w:t>
      </w:r>
    </w:p>
    <w:bookmarkEnd w:id="43"/>
    <w:bookmarkStart w:name="z53" w:id="44"/>
    <w:p>
      <w:pPr>
        <w:spacing w:after="0"/>
        <w:ind w:left="0"/>
        <w:jc w:val="both"/>
      </w:pPr>
      <w:r>
        <w:rPr>
          <w:rFonts w:ascii="Times New Roman"/>
          <w:b w:val="false"/>
          <w:i w:val="false"/>
          <w:color w:val="000000"/>
          <w:sz w:val="28"/>
        </w:rPr>
        <w:t>
      2) анализ информации и оценка рисков.</w:t>
      </w:r>
    </w:p>
    <w:bookmarkEnd w:id="44"/>
    <w:bookmarkStart w:name="z54" w:id="45"/>
    <w:p>
      <w:pPr>
        <w:spacing w:after="0"/>
        <w:ind w:left="0"/>
        <w:jc w:val="both"/>
      </w:pPr>
      <w:r>
        <w:rPr>
          <w:rFonts w:ascii="Times New Roman"/>
          <w:b w:val="false"/>
          <w:i w:val="false"/>
          <w:color w:val="000000"/>
          <w:sz w:val="28"/>
        </w:rPr>
        <w:t>
      9. На основании имеющихся источников информации субъективные критерии подразделяются на три степени нарушения: грубые, значительные, незначительные.</w:t>
      </w:r>
    </w:p>
    <w:bookmarkEnd w:id="45"/>
    <w:bookmarkStart w:name="z55" w:id="46"/>
    <w:p>
      <w:pPr>
        <w:spacing w:after="0"/>
        <w:ind w:left="0"/>
        <w:jc w:val="both"/>
      </w:pPr>
      <w:r>
        <w:rPr>
          <w:rFonts w:ascii="Times New Roman"/>
          <w:b w:val="false"/>
          <w:i w:val="false"/>
          <w:color w:val="000000"/>
          <w:sz w:val="28"/>
        </w:rPr>
        <w:t>
      Субъективные критерии определены для субъектов естественных монополий согласно приложению 1 и за соблюдением порядка ценообразования и обязанностей субъекта общественно значимого рынка согласно приложению 2 к настоящим Критериям.</w:t>
      </w:r>
    </w:p>
    <w:bookmarkEnd w:id="46"/>
    <w:bookmarkStart w:name="z56" w:id="47"/>
    <w:p>
      <w:pPr>
        <w:spacing w:after="0"/>
        <w:ind w:left="0"/>
        <w:jc w:val="both"/>
      </w:pPr>
      <w:r>
        <w:rPr>
          <w:rFonts w:ascii="Times New Roman"/>
          <w:b w:val="false"/>
          <w:i w:val="false"/>
          <w:color w:val="000000"/>
          <w:sz w:val="28"/>
        </w:rPr>
        <w:t>
      10. Для отнесения субъекта контроля к степени риска применяется следующий порядок расчета показателя степени риска.</w:t>
      </w:r>
    </w:p>
    <w:bookmarkEnd w:id="47"/>
    <w:bookmarkStart w:name="z57" w:id="48"/>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48"/>
    <w:bookmarkStart w:name="z58" w:id="49"/>
    <w:p>
      <w:pPr>
        <w:spacing w:after="0"/>
        <w:ind w:left="0"/>
        <w:jc w:val="both"/>
      </w:pPr>
      <w:r>
        <w:rPr>
          <w:rFonts w:ascii="Times New Roman"/>
          <w:b w:val="false"/>
          <w:i w:val="false"/>
          <w:color w:val="000000"/>
          <w:sz w:val="28"/>
        </w:rPr>
        <w:t>
      В случае, если грубых нарушений не выявлено, то для определения показателя степени риска рассчитывается суммарный показатель по нарушениям значительной и незначительной степени.</w:t>
      </w:r>
    </w:p>
    <w:bookmarkEnd w:id="49"/>
    <w:bookmarkStart w:name="z59" w:id="5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0"/>
    <w:bookmarkStart w:name="z60" w:id="51"/>
    <w:p>
      <w:pPr>
        <w:spacing w:after="0"/>
        <w:ind w:left="0"/>
        <w:jc w:val="both"/>
      </w:pPr>
      <w:r>
        <w:rPr>
          <w:rFonts w:ascii="Times New Roman"/>
          <w:b w:val="false"/>
          <w:i w:val="false"/>
          <w:color w:val="000000"/>
          <w:sz w:val="28"/>
        </w:rPr>
        <w:t>
      SРз = (SР2 х 100/SР1) х 0,7, где:</w:t>
      </w:r>
    </w:p>
    <w:bookmarkEnd w:id="51"/>
    <w:bookmarkStart w:name="z61" w:id="52"/>
    <w:p>
      <w:pPr>
        <w:spacing w:after="0"/>
        <w:ind w:left="0"/>
        <w:jc w:val="both"/>
      </w:pPr>
      <w:r>
        <w:rPr>
          <w:rFonts w:ascii="Times New Roman"/>
          <w:b w:val="false"/>
          <w:i w:val="false"/>
          <w:color w:val="000000"/>
          <w:sz w:val="28"/>
        </w:rPr>
        <w:t>
      SРз – показатель значительных нарушений;</w:t>
      </w:r>
    </w:p>
    <w:bookmarkEnd w:id="52"/>
    <w:bookmarkStart w:name="z62" w:id="53"/>
    <w:p>
      <w:pPr>
        <w:spacing w:after="0"/>
        <w:ind w:left="0"/>
        <w:jc w:val="both"/>
      </w:pPr>
      <w:r>
        <w:rPr>
          <w:rFonts w:ascii="Times New Roman"/>
          <w:b w:val="false"/>
          <w:i w:val="false"/>
          <w:color w:val="000000"/>
          <w:sz w:val="28"/>
        </w:rPr>
        <w:t>
      SР1 – требуемое количество значительных нарушений;</w:t>
      </w:r>
    </w:p>
    <w:bookmarkEnd w:id="53"/>
    <w:bookmarkStart w:name="z63" w:id="54"/>
    <w:p>
      <w:pPr>
        <w:spacing w:after="0"/>
        <w:ind w:left="0"/>
        <w:jc w:val="both"/>
      </w:pPr>
      <w:r>
        <w:rPr>
          <w:rFonts w:ascii="Times New Roman"/>
          <w:b w:val="false"/>
          <w:i w:val="false"/>
          <w:color w:val="000000"/>
          <w:sz w:val="28"/>
        </w:rPr>
        <w:t>
      SР2 – количество выявленных значительных нарушений;</w:t>
      </w:r>
    </w:p>
    <w:bookmarkEnd w:id="54"/>
    <w:bookmarkStart w:name="z64" w:id="5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55"/>
    <w:bookmarkStart w:name="z65" w:id="56"/>
    <w:p>
      <w:pPr>
        <w:spacing w:after="0"/>
        <w:ind w:left="0"/>
        <w:jc w:val="both"/>
      </w:pPr>
      <w:r>
        <w:rPr>
          <w:rFonts w:ascii="Times New Roman"/>
          <w:b w:val="false"/>
          <w:i w:val="false"/>
          <w:color w:val="000000"/>
          <w:sz w:val="28"/>
        </w:rPr>
        <w:t>
      SРн = (SР2 х 100/SР1) х 0,3, где:</w:t>
      </w:r>
    </w:p>
    <w:bookmarkEnd w:id="56"/>
    <w:bookmarkStart w:name="z66" w:id="57"/>
    <w:p>
      <w:pPr>
        <w:spacing w:after="0"/>
        <w:ind w:left="0"/>
        <w:jc w:val="both"/>
      </w:pPr>
      <w:r>
        <w:rPr>
          <w:rFonts w:ascii="Times New Roman"/>
          <w:b w:val="false"/>
          <w:i w:val="false"/>
          <w:color w:val="000000"/>
          <w:sz w:val="28"/>
        </w:rPr>
        <w:t>
      SРн – показатель незначительных нарушений;</w:t>
      </w:r>
    </w:p>
    <w:bookmarkEnd w:id="57"/>
    <w:bookmarkStart w:name="z67" w:id="58"/>
    <w:p>
      <w:pPr>
        <w:spacing w:after="0"/>
        <w:ind w:left="0"/>
        <w:jc w:val="both"/>
      </w:pPr>
      <w:r>
        <w:rPr>
          <w:rFonts w:ascii="Times New Roman"/>
          <w:b w:val="false"/>
          <w:i w:val="false"/>
          <w:color w:val="000000"/>
          <w:sz w:val="28"/>
        </w:rPr>
        <w:t>
      SР1 – требуемое количество незначительных нарушений;</w:t>
      </w:r>
    </w:p>
    <w:bookmarkEnd w:id="58"/>
    <w:bookmarkStart w:name="z68" w:id="59"/>
    <w:p>
      <w:pPr>
        <w:spacing w:after="0"/>
        <w:ind w:left="0"/>
        <w:jc w:val="both"/>
      </w:pPr>
      <w:r>
        <w:rPr>
          <w:rFonts w:ascii="Times New Roman"/>
          <w:b w:val="false"/>
          <w:i w:val="false"/>
          <w:color w:val="000000"/>
          <w:sz w:val="28"/>
        </w:rPr>
        <w:t>
      SР2 – количество выявленных незначительных нарушений;</w:t>
      </w:r>
    </w:p>
    <w:bookmarkEnd w:id="59"/>
    <w:bookmarkStart w:name="z69" w:id="60"/>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 SР = SРз + SРн, где:</w:t>
      </w:r>
    </w:p>
    <w:bookmarkEnd w:id="60"/>
    <w:bookmarkStart w:name="z70" w:id="61"/>
    <w:p>
      <w:pPr>
        <w:spacing w:after="0"/>
        <w:ind w:left="0"/>
        <w:jc w:val="both"/>
      </w:pPr>
      <w:r>
        <w:rPr>
          <w:rFonts w:ascii="Times New Roman"/>
          <w:b w:val="false"/>
          <w:i w:val="false"/>
          <w:color w:val="000000"/>
          <w:sz w:val="28"/>
        </w:rPr>
        <w:t>
      SР – общий показатель степени риска;</w:t>
      </w:r>
    </w:p>
    <w:bookmarkEnd w:id="61"/>
    <w:bookmarkStart w:name="z71" w:id="62"/>
    <w:p>
      <w:pPr>
        <w:spacing w:after="0"/>
        <w:ind w:left="0"/>
        <w:jc w:val="both"/>
      </w:pPr>
      <w:r>
        <w:rPr>
          <w:rFonts w:ascii="Times New Roman"/>
          <w:b w:val="false"/>
          <w:i w:val="false"/>
          <w:color w:val="000000"/>
          <w:sz w:val="28"/>
        </w:rPr>
        <w:t>
      SРз – показатель значительных нарушений;</w:t>
      </w:r>
    </w:p>
    <w:bookmarkEnd w:id="62"/>
    <w:bookmarkStart w:name="z72" w:id="63"/>
    <w:p>
      <w:pPr>
        <w:spacing w:after="0"/>
        <w:ind w:left="0"/>
        <w:jc w:val="both"/>
      </w:pPr>
      <w:r>
        <w:rPr>
          <w:rFonts w:ascii="Times New Roman"/>
          <w:b w:val="false"/>
          <w:i w:val="false"/>
          <w:color w:val="000000"/>
          <w:sz w:val="28"/>
        </w:rPr>
        <w:t>
      SРн – показатель незначительных нарушений.</w:t>
      </w:r>
    </w:p>
    <w:bookmarkEnd w:id="63"/>
    <w:bookmarkStart w:name="z73" w:id="64"/>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64"/>
    <w:bookmarkStart w:name="z74" w:id="65"/>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65"/>
    <w:bookmarkStart w:name="z75" w:id="66"/>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66"/>
    <w:bookmarkStart w:name="z76" w:id="67"/>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67"/>
    <w:bookmarkStart w:name="z77" w:id="68"/>
    <w:p>
      <w:pPr>
        <w:spacing w:after="0"/>
        <w:ind w:left="0"/>
        <w:jc w:val="both"/>
      </w:pPr>
      <w:r>
        <w:rPr>
          <w:rFonts w:ascii="Times New Roman"/>
          <w:b w:val="false"/>
          <w:i w:val="false"/>
          <w:color w:val="000000"/>
          <w:sz w:val="28"/>
        </w:rPr>
        <w:t>
      11.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8"/>
    <w:bookmarkStart w:name="z78" w:id="69"/>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w:t>
      </w:r>
    </w:p>
    <w:bookmarkEnd w:id="69"/>
    <w:bookmarkStart w:name="z79" w:id="70"/>
    <w:p>
      <w:pPr>
        <w:spacing w:after="0"/>
        <w:ind w:left="0"/>
        <w:jc w:val="both"/>
      </w:pPr>
      <w:r>
        <w:rPr>
          <w:rFonts w:ascii="Times New Roman"/>
          <w:b w:val="false"/>
          <w:i w:val="false"/>
          <w:color w:val="000000"/>
          <w:sz w:val="28"/>
        </w:rPr>
        <w:t>
      12.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со статьей 144-2 Кодекса.</w:t>
      </w:r>
    </w:p>
    <w:bookmarkEnd w:id="70"/>
    <w:bookmarkStart w:name="z80" w:id="71"/>
    <w:p>
      <w:pPr>
        <w:spacing w:after="0"/>
        <w:ind w:left="0"/>
        <w:jc w:val="both"/>
      </w:pPr>
      <w:r>
        <w:rPr>
          <w:rFonts w:ascii="Times New Roman"/>
          <w:b w:val="false"/>
          <w:i w:val="false"/>
          <w:color w:val="000000"/>
          <w:sz w:val="28"/>
        </w:rPr>
        <w:t>
      13.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71"/>
    <w:bookmarkStart w:name="z81" w:id="72"/>
    <w:p>
      <w:pPr>
        <w:spacing w:after="0"/>
        <w:ind w:left="0"/>
        <w:jc w:val="left"/>
      </w:pPr>
      <w:r>
        <w:rPr>
          <w:rFonts w:ascii="Times New Roman"/>
          <w:b/>
          <w:i w:val="false"/>
          <w:color w:val="000000"/>
        </w:rPr>
        <w:t xml:space="preserve"> Глава 4. Управление рисками</w:t>
      </w:r>
    </w:p>
    <w:bookmarkEnd w:id="72"/>
    <w:bookmarkStart w:name="z82" w:id="73"/>
    <w:p>
      <w:pPr>
        <w:spacing w:after="0"/>
        <w:ind w:left="0"/>
        <w:jc w:val="both"/>
      </w:pPr>
      <w:r>
        <w:rPr>
          <w:rFonts w:ascii="Times New Roman"/>
          <w:b w:val="false"/>
          <w:i w:val="false"/>
          <w:color w:val="000000"/>
          <w:sz w:val="28"/>
        </w:rPr>
        <w:t>
      14.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на период, определяемый критериями оценки степени риска регулирующего государственного органа, посредством применения субъективных критериев.</w:t>
      </w:r>
    </w:p>
    <w:bookmarkEnd w:id="73"/>
    <w:bookmarkStart w:name="z83" w:id="74"/>
    <w:p>
      <w:pPr>
        <w:spacing w:after="0"/>
        <w:ind w:left="0"/>
        <w:jc w:val="both"/>
      </w:pPr>
      <w:r>
        <w:rPr>
          <w:rFonts w:ascii="Times New Roman"/>
          <w:b w:val="false"/>
          <w:i w:val="false"/>
          <w:color w:val="000000"/>
          <w:sz w:val="28"/>
        </w:rPr>
        <w:t>
      15. Субъекты (объекты)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в случаях:</w:t>
      </w:r>
    </w:p>
    <w:bookmarkEnd w:id="74"/>
    <w:bookmarkStart w:name="z84" w:id="75"/>
    <w:p>
      <w:pPr>
        <w:spacing w:after="0"/>
        <w:ind w:left="0"/>
        <w:jc w:val="both"/>
      </w:pPr>
      <w:r>
        <w:rPr>
          <w:rFonts w:ascii="Times New Roman"/>
          <w:b w:val="false"/>
          <w:i w:val="false"/>
          <w:color w:val="000000"/>
          <w:sz w:val="28"/>
        </w:rPr>
        <w:t>
      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p>
    <w:bookmarkEnd w:id="75"/>
    <w:bookmarkStart w:name="z85" w:id="76"/>
    <w:p>
      <w:pPr>
        <w:spacing w:after="0"/>
        <w:ind w:left="0"/>
        <w:jc w:val="both"/>
      </w:pPr>
      <w:r>
        <w:rPr>
          <w:rFonts w:ascii="Times New Roman"/>
          <w:b w:val="false"/>
          <w:i w:val="false"/>
          <w:color w:val="000000"/>
          <w:sz w:val="28"/>
        </w:rPr>
        <w:t>
      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w:t>
      </w:r>
    </w:p>
    <w:bookmarkEnd w:id="76"/>
    <w:bookmarkStart w:name="z86" w:id="77"/>
    <w:p>
      <w:pPr>
        <w:spacing w:after="0"/>
        <w:ind w:left="0"/>
        <w:jc w:val="both"/>
      </w:pPr>
      <w:r>
        <w:rPr>
          <w:rFonts w:ascii="Times New Roman"/>
          <w:b w:val="false"/>
          <w:i w:val="false"/>
          <w:color w:val="000000"/>
          <w:sz w:val="28"/>
        </w:rPr>
        <w:t xml:space="preserve">
      3) если субъекты являются членами саморегулируемой организации, основанной на добровольном членстве (участии)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саморегулировании", с которой заключено соглашение о признании результатов деятельности саморегулируемой организации.</w:t>
      </w:r>
    </w:p>
    <w:bookmarkEnd w:id="77"/>
    <w:bookmarkStart w:name="z87" w:id="78"/>
    <w:p>
      <w:pPr>
        <w:spacing w:after="0"/>
        <w:ind w:left="0"/>
        <w:jc w:val="both"/>
      </w:pPr>
      <w:r>
        <w:rPr>
          <w:rFonts w:ascii="Times New Roman"/>
          <w:b w:val="false"/>
          <w:i w:val="false"/>
          <w:color w:val="000000"/>
          <w:sz w:val="28"/>
        </w:rPr>
        <w:t xml:space="preserve">
      16. Регулирующие государственные органы, а также государственные органы при осуществлении государственного контроля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 в соответствии с пунктом 10 </w:t>
      </w:r>
      <w:r>
        <w:rPr>
          <w:rFonts w:ascii="Times New Roman"/>
          <w:b w:val="false"/>
          <w:i w:val="false"/>
          <w:color w:val="000000"/>
          <w:sz w:val="28"/>
        </w:rPr>
        <w:t>статьи 141</w:t>
      </w:r>
      <w:r>
        <w:rPr>
          <w:rFonts w:ascii="Times New Roman"/>
          <w:b w:val="false"/>
          <w:i w:val="false"/>
          <w:color w:val="000000"/>
          <w:sz w:val="28"/>
        </w:rPr>
        <w:t xml:space="preserve"> Кодекса.</w:t>
      </w:r>
    </w:p>
    <w:bookmarkEnd w:id="78"/>
    <w:bookmarkStart w:name="z88" w:id="79"/>
    <w:p>
      <w:pPr>
        <w:spacing w:after="0"/>
        <w:ind w:left="0"/>
        <w:jc w:val="both"/>
      </w:pPr>
      <w:r>
        <w:rPr>
          <w:rFonts w:ascii="Times New Roman"/>
          <w:b w:val="false"/>
          <w:i w:val="false"/>
          <w:color w:val="000000"/>
          <w:sz w:val="28"/>
        </w:rPr>
        <w:t>
      17. В целях освобождения от профилактического контроля с посещением субъекта (объекта) контроля, регулирующими государственными органами, а также государственными органами учитываются смягчающие индикаторы.</w:t>
      </w:r>
    </w:p>
    <w:bookmarkEnd w:id="79"/>
    <w:bookmarkStart w:name="z89" w:id="80"/>
    <w:p>
      <w:pPr>
        <w:spacing w:after="0"/>
        <w:ind w:left="0"/>
        <w:jc w:val="both"/>
      </w:pPr>
      <w:r>
        <w:rPr>
          <w:rFonts w:ascii="Times New Roman"/>
          <w:b w:val="false"/>
          <w:i w:val="false"/>
          <w:color w:val="000000"/>
          <w:sz w:val="28"/>
        </w:rPr>
        <w:t>
      К смягчающим индикаторам относится:</w:t>
      </w:r>
    </w:p>
    <w:bookmarkEnd w:id="80"/>
    <w:bookmarkStart w:name="z90" w:id="81"/>
    <w:p>
      <w:pPr>
        <w:spacing w:after="0"/>
        <w:ind w:left="0"/>
        <w:jc w:val="both"/>
      </w:pPr>
      <w:r>
        <w:rPr>
          <w:rFonts w:ascii="Times New Roman"/>
          <w:b w:val="false"/>
          <w:i w:val="false"/>
          <w:color w:val="000000"/>
          <w:sz w:val="28"/>
        </w:rPr>
        <w:t>
      1) наличие аудио и (или) видео фиксации, с передачей данных в онлайн-режиме;</w:t>
      </w:r>
    </w:p>
    <w:bookmarkEnd w:id="81"/>
    <w:bookmarkStart w:name="z91" w:id="82"/>
    <w:p>
      <w:pPr>
        <w:spacing w:after="0"/>
        <w:ind w:left="0"/>
        <w:jc w:val="both"/>
      </w:pPr>
      <w:r>
        <w:rPr>
          <w:rFonts w:ascii="Times New Roman"/>
          <w:b w:val="false"/>
          <w:i w:val="false"/>
          <w:color w:val="000000"/>
          <w:sz w:val="28"/>
        </w:rPr>
        <w:t>
      2) наличие датчиков и фиксирующих устройств по передаче данных в системы государственных органов (датчики воды, датчики фиксации выбросов в атмосферу).</w:t>
      </w:r>
    </w:p>
    <w:bookmarkEnd w:id="82"/>
    <w:bookmarkStart w:name="z92" w:id="83"/>
    <w:p>
      <w:pPr>
        <w:spacing w:after="0"/>
        <w:ind w:left="0"/>
        <w:jc w:val="both"/>
      </w:pPr>
      <w:r>
        <w:rPr>
          <w:rFonts w:ascii="Times New Roman"/>
          <w:b w:val="false"/>
          <w:i w:val="false"/>
          <w:color w:val="000000"/>
          <w:sz w:val="28"/>
        </w:rPr>
        <w:t>
      18. Освобождение от профилактического контроля с посещением субъекта (объекта) контроля возможно на основании применяемых альтернативных (независимых) систем оценки и анализа рисков, аудита, экспертиз в соответствии с критериями оценки степени риска регулирующего государственного органа, если такие основания предусмотрены в международных договорах, ратифицированных Республикой Казахстан.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94" w:id="84"/>
    <w:p>
      <w:pPr>
        <w:spacing w:after="0"/>
        <w:ind w:left="0"/>
        <w:jc w:val="left"/>
      </w:pPr>
      <w:r>
        <w:rPr>
          <w:rFonts w:ascii="Times New Roman"/>
          <w:b/>
          <w:i w:val="false"/>
          <w:color w:val="000000"/>
        </w:rPr>
        <w:t xml:space="preserve"> Субъективные критерии для субъектов естественных монополий</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доступа к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 договором договоров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согласия уполномоченного органа на:</w:t>
            </w:r>
          </w:p>
          <w:p>
            <w:pPr>
              <w:spacing w:after="20"/>
              <w:ind w:left="20"/>
              <w:jc w:val="both"/>
            </w:pPr>
            <w:r>
              <w:rPr>
                <w:rFonts w:ascii="Times New Roman"/>
                <w:b w:val="false"/>
                <w:i w:val="false"/>
                <w:color w:val="000000"/>
                <w:sz w:val="20"/>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2) совершение сделок с имуществом, используемым для предоставления регулируемой услуги подъездных путей;</w:t>
            </w:r>
          </w:p>
          <w:p>
            <w:pPr>
              <w:spacing w:after="20"/>
              <w:ind w:left="20"/>
              <w:jc w:val="both"/>
            </w:pPr>
            <w:r>
              <w:rPr>
                <w:rFonts w:ascii="Times New Roman"/>
                <w:b w:val="false"/>
                <w:i w:val="false"/>
                <w:color w:val="000000"/>
                <w:sz w:val="20"/>
              </w:rPr>
              <w:t>
3) реорганизацию или ликвидацию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регулируемой услуги по тарифу, утвержденному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установление дополнительных требований, не относящихся к предоставляемой регулируемой услуге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приема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 ресурсы или терминалы, а при необходимости через платежных агентов и (или) платежные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за оказание услуг подъездных путей при отсутствии конкурентного подъездного пути платы по фактической протяженности подъездного пути, используемой потребителем для проезда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p>
            <w:pPr>
              <w:spacing w:after="20"/>
              <w:ind w:left="20"/>
              <w:jc w:val="both"/>
            </w:pPr>
            <w:r>
              <w:rPr>
                <w:rFonts w:ascii="Times New Roman"/>
                <w:b w:val="false"/>
                <w:i w:val="false"/>
                <w:color w:val="000000"/>
                <w:sz w:val="20"/>
              </w:rPr>
              <w:t>
1) конкурса;</w:t>
            </w:r>
          </w:p>
          <w:p>
            <w:pPr>
              <w:spacing w:after="20"/>
              <w:ind w:left="20"/>
              <w:jc w:val="both"/>
            </w:pPr>
            <w:r>
              <w:rPr>
                <w:rFonts w:ascii="Times New Roman"/>
                <w:b w:val="false"/>
                <w:i w:val="false"/>
                <w:color w:val="000000"/>
                <w:sz w:val="20"/>
              </w:rPr>
              <w:t>
2) запроса ценовых предложений;</w:t>
            </w:r>
          </w:p>
          <w:p>
            <w:pPr>
              <w:spacing w:after="20"/>
              <w:ind w:left="20"/>
              <w:jc w:val="both"/>
            </w:pPr>
            <w:r>
              <w:rPr>
                <w:rFonts w:ascii="Times New Roman"/>
                <w:b w:val="false"/>
                <w:i w:val="false"/>
                <w:color w:val="000000"/>
                <w:sz w:val="20"/>
              </w:rPr>
              <w:t>
3) из одного источника;</w:t>
            </w:r>
          </w:p>
          <w:p>
            <w:pPr>
              <w:spacing w:after="20"/>
              <w:ind w:left="20"/>
              <w:jc w:val="both"/>
            </w:pPr>
            <w:r>
              <w:rPr>
                <w:rFonts w:ascii="Times New Roman"/>
                <w:b w:val="false"/>
                <w:i w:val="false"/>
                <w:color w:val="000000"/>
                <w:sz w:val="20"/>
              </w:rPr>
              <w:t>
4) через товарные биржи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p>
            <w:pPr>
              <w:spacing w:after="20"/>
              <w:ind w:left="20"/>
              <w:jc w:val="both"/>
            </w:pPr>
            <w:r>
              <w:rPr>
                <w:rFonts w:ascii="Times New Roman"/>
                <w:b w:val="false"/>
                <w:i w:val="false"/>
                <w:color w:val="000000"/>
                <w:sz w:val="20"/>
              </w:rPr>
              <w:t>
1) истечения срока действия конкурсной заявки;</w:t>
            </w:r>
          </w:p>
          <w:p>
            <w:pPr>
              <w:spacing w:after="20"/>
              <w:ind w:left="20"/>
              <w:jc w:val="both"/>
            </w:pPr>
            <w:r>
              <w:rPr>
                <w:rFonts w:ascii="Times New Roman"/>
                <w:b w:val="false"/>
                <w:i w:val="false"/>
                <w:color w:val="000000"/>
                <w:sz w:val="20"/>
              </w:rPr>
              <w:t>
2) вступления в силу договора закупок;</w:t>
            </w:r>
          </w:p>
          <w:p>
            <w:pPr>
              <w:spacing w:after="20"/>
              <w:ind w:left="20"/>
              <w:jc w:val="both"/>
            </w:pPr>
            <w:r>
              <w:rPr>
                <w:rFonts w:ascii="Times New Roman"/>
                <w:b w:val="false"/>
                <w:i w:val="false"/>
                <w:color w:val="000000"/>
                <w:sz w:val="20"/>
              </w:rPr>
              <w:t>
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p>
            <w:pPr>
              <w:spacing w:after="20"/>
              <w:ind w:left="20"/>
              <w:jc w:val="both"/>
            </w:pPr>
            <w:r>
              <w:rPr>
                <w:rFonts w:ascii="Times New Roman"/>
                <w:b w:val="false"/>
                <w:i w:val="false"/>
                <w:color w:val="000000"/>
                <w:sz w:val="20"/>
              </w:rPr>
              <w:t>
1) не представлены документы</w:t>
            </w:r>
          </w:p>
          <w:p>
            <w:pPr>
              <w:spacing w:after="20"/>
              <w:ind w:left="20"/>
              <w:jc w:val="both"/>
            </w:pP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7) установлен факт представления недостоверной информации;</w:t>
            </w:r>
          </w:p>
          <w:p>
            <w:pPr>
              <w:spacing w:after="20"/>
              <w:ind w:left="20"/>
              <w:jc w:val="both"/>
            </w:pPr>
            <w:r>
              <w:rPr>
                <w:rFonts w:ascii="Times New Roman"/>
                <w:b w:val="false"/>
                <w:i w:val="false"/>
                <w:color w:val="000000"/>
                <w:sz w:val="20"/>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p>
            <w:pPr>
              <w:spacing w:after="20"/>
              <w:ind w:left="20"/>
              <w:jc w:val="both"/>
            </w:pPr>
            <w:r>
              <w:rPr>
                <w:rFonts w:ascii="Times New Roman"/>
                <w:b w:val="false"/>
                <w:i w:val="false"/>
                <w:color w:val="000000"/>
                <w:sz w:val="20"/>
              </w:rPr>
              <w:t>
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p>
            <w:pPr>
              <w:spacing w:after="20"/>
              <w:ind w:left="20"/>
              <w:jc w:val="both"/>
            </w:pPr>
            <w:r>
              <w:rPr>
                <w:rFonts w:ascii="Times New Roman"/>
                <w:b w:val="false"/>
                <w:i w:val="false"/>
                <w:color w:val="000000"/>
                <w:sz w:val="20"/>
              </w:rPr>
              <w:t>
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p>
            <w:pPr>
              <w:spacing w:after="20"/>
              <w:ind w:left="20"/>
              <w:jc w:val="both"/>
            </w:pPr>
            <w:r>
              <w:rPr>
                <w:rFonts w:ascii="Times New Roman"/>
                <w:b w:val="false"/>
                <w:i w:val="false"/>
                <w:color w:val="000000"/>
                <w:sz w:val="20"/>
              </w:rPr>
              <w:t>
1) расходов на эксплуатацию, техническое обслуживание и ремонт;</w:t>
            </w:r>
          </w:p>
          <w:p>
            <w:pPr>
              <w:spacing w:after="20"/>
              <w:ind w:left="20"/>
              <w:jc w:val="both"/>
            </w:pPr>
            <w:r>
              <w:rPr>
                <w:rFonts w:ascii="Times New Roman"/>
                <w:b w:val="false"/>
                <w:i w:val="false"/>
                <w:color w:val="000000"/>
                <w:sz w:val="20"/>
              </w:rPr>
              <w:t>
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пяти рабочих дней со дня вскрытия конкурсных заявок, формирование и размещение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p>
            <w:pPr>
              <w:spacing w:after="20"/>
              <w:ind w:left="20"/>
              <w:jc w:val="both"/>
            </w:pPr>
            <w:r>
              <w:rPr>
                <w:rFonts w:ascii="Times New Roman"/>
                <w:b w:val="false"/>
                <w:i w:val="false"/>
                <w:color w:val="000000"/>
                <w:sz w:val="20"/>
              </w:rPr>
              <w:t>
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4) цена и другие основные условия каждой конкурсной заявки;</w:t>
            </w:r>
          </w:p>
          <w:p>
            <w:pPr>
              <w:spacing w:after="20"/>
              <w:ind w:left="20"/>
              <w:jc w:val="both"/>
            </w:pPr>
            <w:r>
              <w:rPr>
                <w:rFonts w:ascii="Times New Roman"/>
                <w:b w:val="false"/>
                <w:i w:val="false"/>
                <w:color w:val="000000"/>
                <w:sz w:val="20"/>
              </w:rPr>
              <w:t>
5) изложение оценки и сопоставления конкурсных заявок;</w:t>
            </w:r>
          </w:p>
          <w:p>
            <w:pPr>
              <w:spacing w:after="20"/>
              <w:ind w:left="20"/>
              <w:jc w:val="both"/>
            </w:pPr>
            <w:r>
              <w:rPr>
                <w:rFonts w:ascii="Times New Roman"/>
                <w:b w:val="false"/>
                <w:i w:val="false"/>
                <w:color w:val="000000"/>
                <w:sz w:val="20"/>
              </w:rPr>
              <w:t>
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p>
            <w:pPr>
              <w:spacing w:after="20"/>
              <w:ind w:left="20"/>
              <w:jc w:val="both"/>
            </w:pPr>
            <w:r>
              <w:rPr>
                <w:rFonts w:ascii="Times New Roman"/>
                <w:b w:val="false"/>
                <w:i w:val="false"/>
                <w:color w:val="000000"/>
                <w:sz w:val="20"/>
              </w:rPr>
              <w:t>
1) оно превышает сумму, выделенную на закупки;</w:t>
            </w:r>
          </w:p>
          <w:p>
            <w:pPr>
              <w:spacing w:after="20"/>
              <w:ind w:left="20"/>
              <w:jc w:val="both"/>
            </w:pPr>
            <w:r>
              <w:rPr>
                <w:rFonts w:ascii="Times New Roman"/>
                <w:b w:val="false"/>
                <w:i w:val="false"/>
                <w:color w:val="000000"/>
                <w:sz w:val="20"/>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3) оно не соответствует требованиям;</w:t>
            </w:r>
          </w:p>
          <w:p>
            <w:pPr>
              <w:spacing w:after="20"/>
              <w:ind w:left="20"/>
              <w:jc w:val="both"/>
            </w:pPr>
            <w:r>
              <w:rPr>
                <w:rFonts w:ascii="Times New Roman"/>
                <w:b w:val="false"/>
                <w:i w:val="false"/>
                <w:color w:val="000000"/>
                <w:sz w:val="20"/>
              </w:rPr>
              <w:t>
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p>
            <w:pPr>
              <w:spacing w:after="20"/>
              <w:ind w:left="20"/>
              <w:jc w:val="both"/>
            </w:pPr>
            <w:r>
              <w:rPr>
                <w:rFonts w:ascii="Times New Roman"/>
                <w:b w:val="false"/>
                <w:i w:val="false"/>
                <w:color w:val="000000"/>
                <w:sz w:val="20"/>
              </w:rPr>
              <w:t>
1) представления менее двух ценовых предложений;</w:t>
            </w:r>
          </w:p>
          <w:p>
            <w:pPr>
              <w:spacing w:after="20"/>
              <w:ind w:left="20"/>
              <w:jc w:val="both"/>
            </w:pPr>
            <w:r>
              <w:rPr>
                <w:rFonts w:ascii="Times New Roman"/>
                <w:b w:val="false"/>
                <w:i w:val="false"/>
                <w:color w:val="000000"/>
                <w:sz w:val="20"/>
              </w:rPr>
              <w:t>
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p>
            <w:pPr>
              <w:spacing w:after="20"/>
              <w:ind w:left="20"/>
              <w:jc w:val="both"/>
            </w:pPr>
            <w:r>
              <w:rPr>
                <w:rFonts w:ascii="Times New Roman"/>
                <w:b w:val="false"/>
                <w:i w:val="false"/>
                <w:color w:val="000000"/>
                <w:sz w:val="20"/>
              </w:rPr>
              <w:t>
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p>
            <w:pPr>
              <w:spacing w:after="20"/>
              <w:ind w:left="20"/>
              <w:jc w:val="both"/>
            </w:pPr>
            <w:r>
              <w:rPr>
                <w:rFonts w:ascii="Times New Roman"/>
                <w:b w:val="false"/>
                <w:i w:val="false"/>
                <w:color w:val="000000"/>
                <w:sz w:val="20"/>
              </w:rPr>
              <w:t>
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судебными исполнителями;</w:t>
            </w:r>
          </w:p>
          <w:p>
            <w:pPr>
              <w:spacing w:after="20"/>
              <w:ind w:left="20"/>
              <w:jc w:val="both"/>
            </w:pPr>
            <w:r>
              <w:rPr>
                <w:rFonts w:ascii="Times New Roman"/>
                <w:b w:val="false"/>
                <w:i w:val="false"/>
                <w:color w:val="000000"/>
                <w:sz w:val="20"/>
              </w:rPr>
              <w:t>
по реабилитации и банкротстве;</w:t>
            </w:r>
          </w:p>
          <w:p>
            <w:pPr>
              <w:spacing w:after="20"/>
              <w:ind w:left="20"/>
              <w:jc w:val="both"/>
            </w:pPr>
            <w:r>
              <w:rPr>
                <w:rFonts w:ascii="Times New Roman"/>
                <w:b w:val="false"/>
                <w:i w:val="false"/>
                <w:color w:val="000000"/>
                <w:sz w:val="20"/>
              </w:rPr>
              <w:t>
при приватизации государственного имущества;</w:t>
            </w:r>
          </w:p>
          <w:p>
            <w:pPr>
              <w:spacing w:after="20"/>
              <w:ind w:left="20"/>
              <w:jc w:val="both"/>
            </w:pPr>
            <w:r>
              <w:rPr>
                <w:rFonts w:ascii="Times New Roman"/>
                <w:b w:val="false"/>
                <w:i w:val="false"/>
                <w:color w:val="000000"/>
                <w:sz w:val="20"/>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субъектом (объектом) контроля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перерасчета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за месяц до проведения отчета перед потребителями и иными заинтересованными лицами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ведомству уполномоченного органа или его территориальному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учитывание в затратной части тарифа следующих расходов:</w:t>
            </w:r>
          </w:p>
          <w:p>
            <w:pPr>
              <w:spacing w:after="20"/>
              <w:ind w:left="20"/>
              <w:jc w:val="both"/>
            </w:pPr>
            <w:r>
              <w:rPr>
                <w:rFonts w:ascii="Times New Roman"/>
                <w:b w:val="false"/>
                <w:i w:val="false"/>
                <w:color w:val="000000"/>
                <w:sz w:val="20"/>
              </w:rPr>
              <w:t>
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 за исключением платы за пользование магистральным газопроводом по маршруту Караозек (Кызылординская область) – Жезказган – Караганда – Темиртау – Астана, полученным в аренду, доверительное управление или в имущественный наем, включающую в себя налоговые обязательства по имуществу и выплаты за привлекаемые инвестиции, связанные со строительством магистрального газопровода по указанному маршруту;</w:t>
            </w:r>
          </w:p>
          <w:p>
            <w:pPr>
              <w:spacing w:after="20"/>
              <w:ind w:left="20"/>
              <w:jc w:val="both"/>
            </w:pPr>
            <w:r>
              <w:rPr>
                <w:rFonts w:ascii="Times New Roman"/>
                <w:b w:val="false"/>
                <w:i w:val="false"/>
                <w:color w:val="000000"/>
                <w:sz w:val="20"/>
              </w:rPr>
              <w:t>
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а также содержание и ремонт магистрального газопровода по маршруту Караозек (Кызылординская область) – Жезказган – Караганда Темиртау – Астана. При этом, затраты на содержание и ремонт газораспределительных сетей, полученных по договору доверительного управления от местных исполнительных органов, включаются в тариф поэтапно на каждый год периода его действия. Этапы включения затрат на содержание и ремонт определяются ведомством уполномоченного органа. Затраты на содержание (эксплуатацию) и ремонт сетей передачи электрической энергии, полученных в доверительное управление от местных исполнительных органов не могут превышать уровень инфляции предусмотренный Прогнозом социально-экономического развития Республики Казахстан от суммы затрат тарифной сметы;</w:t>
            </w:r>
          </w:p>
          <w:p>
            <w:pPr>
              <w:spacing w:after="20"/>
              <w:ind w:left="20"/>
              <w:jc w:val="both"/>
            </w:pPr>
            <w:r>
              <w:rPr>
                <w:rFonts w:ascii="Times New Roman"/>
                <w:b w:val="false"/>
                <w:i w:val="false"/>
                <w:color w:val="000000"/>
                <w:sz w:val="20"/>
              </w:rPr>
              <w:t>
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6) судебные издержки;</w:t>
            </w:r>
          </w:p>
          <w:p>
            <w:pPr>
              <w:spacing w:after="20"/>
              <w:ind w:left="20"/>
              <w:jc w:val="both"/>
            </w:pPr>
            <w:r>
              <w:rPr>
                <w:rFonts w:ascii="Times New Roman"/>
                <w:b w:val="false"/>
                <w:i w:val="false"/>
                <w:color w:val="000000"/>
                <w:sz w:val="20"/>
              </w:rPr>
              <w:t>
7) безнадежная задолженность;</w:t>
            </w:r>
          </w:p>
          <w:p>
            <w:pPr>
              <w:spacing w:after="20"/>
              <w:ind w:left="20"/>
              <w:jc w:val="both"/>
            </w:pPr>
            <w:r>
              <w:rPr>
                <w:rFonts w:ascii="Times New Roman"/>
                <w:b w:val="false"/>
                <w:i w:val="false"/>
                <w:color w:val="000000"/>
                <w:sz w:val="20"/>
              </w:rPr>
              <w:t>
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9) штрафы и пени за сокрытие (занижение) дохода;</w:t>
            </w:r>
          </w:p>
          <w:p>
            <w:pPr>
              <w:spacing w:after="20"/>
              <w:ind w:left="20"/>
              <w:jc w:val="both"/>
            </w:pPr>
            <w:r>
              <w:rPr>
                <w:rFonts w:ascii="Times New Roman"/>
                <w:b w:val="false"/>
                <w:i w:val="false"/>
                <w:color w:val="000000"/>
                <w:sz w:val="20"/>
              </w:rPr>
              <w:t>
10) убытки от хищений;</w:t>
            </w:r>
          </w:p>
          <w:p>
            <w:pPr>
              <w:spacing w:after="20"/>
              <w:ind w:left="20"/>
              <w:jc w:val="both"/>
            </w:pPr>
            <w:r>
              <w:rPr>
                <w:rFonts w:ascii="Times New Roman"/>
                <w:b w:val="false"/>
                <w:i w:val="false"/>
                <w:color w:val="000000"/>
                <w:sz w:val="20"/>
              </w:rPr>
              <w:t>
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20) на приобретение, аренду и содержание квартир, жилых зданий и сооружений, мест в общежитиях и гостиницах для персонала субъекта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предоставления регулируемых услуг, которые включаются в производственные расходы);</w:t>
            </w:r>
          </w:p>
          <w:p>
            <w:pPr>
              <w:spacing w:after="20"/>
              <w:ind w:left="20"/>
              <w:jc w:val="both"/>
            </w:pPr>
            <w:r>
              <w:rPr>
                <w:rFonts w:ascii="Times New Roman"/>
                <w:b w:val="false"/>
                <w:i w:val="false"/>
                <w:color w:val="000000"/>
                <w:sz w:val="20"/>
              </w:rPr>
              <w:t>
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25)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20"/>
              <w:ind w:left="20"/>
              <w:jc w:val="both"/>
            </w:pPr>
            <w:r>
              <w:rPr>
                <w:rFonts w:ascii="Times New Roman"/>
                <w:b w:val="false"/>
                <w:i w:val="false"/>
                <w:color w:val="000000"/>
                <w:sz w:val="20"/>
              </w:rPr>
              <w:t>
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28) на предоставление всех видов спонсорской помощи;</w:t>
            </w:r>
          </w:p>
          <w:p>
            <w:pPr>
              <w:spacing w:after="20"/>
              <w:ind w:left="20"/>
              <w:jc w:val="both"/>
            </w:pPr>
            <w:r>
              <w:rPr>
                <w:rFonts w:ascii="Times New Roman"/>
                <w:b w:val="false"/>
                <w:i w:val="false"/>
                <w:color w:val="000000"/>
                <w:sz w:val="20"/>
              </w:rPr>
              <w:t>
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закупок стратегических товаров субъектом естественной монополии непосредственно у производителей стратегических товаров, за исключением случаев:</w:t>
            </w:r>
          </w:p>
          <w:p>
            <w:pPr>
              <w:spacing w:after="20"/>
              <w:ind w:left="20"/>
              <w:jc w:val="both"/>
            </w:pPr>
            <w:r>
              <w:rPr>
                <w:rFonts w:ascii="Times New Roman"/>
                <w:b w:val="false"/>
                <w:i w:val="false"/>
                <w:color w:val="000000"/>
                <w:sz w:val="20"/>
              </w:rPr>
              <w:t>
1) наличия дефицита электрической энергии на соответствующем товарном рынке, подтвержденного государственным органом, осуществляющим руководство в области электроэнергетики;</w:t>
            </w:r>
          </w:p>
          <w:p>
            <w:pPr>
              <w:spacing w:after="20"/>
              <w:ind w:left="20"/>
              <w:jc w:val="both"/>
            </w:pPr>
            <w:r>
              <w:rPr>
                <w:rFonts w:ascii="Times New Roman"/>
                <w:b w:val="false"/>
                <w:i w:val="false"/>
                <w:color w:val="000000"/>
                <w:sz w:val="20"/>
              </w:rPr>
              <w:t>
2) несоответствия субъекта естественной монополии условиям для участия в оптовом рынке электрической энергии, предъявляемым к потребителям;</w:t>
            </w:r>
          </w:p>
          <w:p>
            <w:pPr>
              <w:spacing w:after="20"/>
              <w:ind w:left="20"/>
              <w:jc w:val="both"/>
            </w:pPr>
            <w:r>
              <w:rPr>
                <w:rFonts w:ascii="Times New Roman"/>
                <w:b w:val="false"/>
                <w:i w:val="false"/>
                <w:color w:val="000000"/>
                <w:sz w:val="20"/>
              </w:rPr>
              <w:t>
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
          <w:p>
            <w:pPr>
              <w:spacing w:after="20"/>
              <w:ind w:left="20"/>
              <w:jc w:val="both"/>
            </w:pPr>
            <w:r>
              <w:rPr>
                <w:rFonts w:ascii="Times New Roman"/>
                <w:b w:val="false"/>
                <w:i w:val="false"/>
                <w:color w:val="000000"/>
                <w:sz w:val="20"/>
              </w:rPr>
              <w:t>
4) закупки газа у газораспределительных организаций;</w:t>
            </w:r>
          </w:p>
          <w:p>
            <w:pPr>
              <w:spacing w:after="20"/>
              <w:ind w:left="20"/>
              <w:jc w:val="both"/>
            </w:pPr>
            <w:r>
              <w:rPr>
                <w:rFonts w:ascii="Times New Roman"/>
                <w:b w:val="false"/>
                <w:i w:val="false"/>
                <w:color w:val="000000"/>
                <w:sz w:val="20"/>
              </w:rPr>
              <w:t>
5) закупки электрической энергии;</w:t>
            </w:r>
          </w:p>
          <w:p>
            <w:pPr>
              <w:spacing w:after="20"/>
              <w:ind w:left="20"/>
              <w:jc w:val="both"/>
            </w:pPr>
            <w:r>
              <w:rPr>
                <w:rFonts w:ascii="Times New Roman"/>
                <w:b w:val="false"/>
                <w:i w:val="false"/>
                <w:color w:val="000000"/>
                <w:sz w:val="20"/>
              </w:rPr>
              <w:t>
6) закупки балансирующей электроэнергии, электрической энергии на централизованных торгах, спот-рынке;</w:t>
            </w:r>
          </w:p>
          <w:p>
            <w:pPr>
              <w:spacing w:after="20"/>
              <w:ind w:left="20"/>
              <w:jc w:val="both"/>
            </w:pPr>
            <w:r>
              <w:rPr>
                <w:rFonts w:ascii="Times New Roman"/>
                <w:b w:val="false"/>
                <w:i w:val="false"/>
                <w:color w:val="000000"/>
                <w:sz w:val="20"/>
              </w:rPr>
              <w:t>
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ценам не выше предельного уровня тарифа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анализа официальных интернет-ресурсов и средств массовой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размещение отчета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 </w:t>
            </w:r>
          </w:p>
          <w:p>
            <w:pPr>
              <w:spacing w:after="20"/>
              <w:ind w:left="20"/>
              <w:jc w:val="both"/>
            </w:pPr>
            <w:r>
              <w:rPr>
                <w:rFonts w:ascii="Times New Roman"/>
                <w:b w:val="false"/>
                <w:i w:val="false"/>
                <w:color w:val="000000"/>
                <w:sz w:val="20"/>
              </w:rPr>
              <w:t>
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p>
            <w:pPr>
              <w:spacing w:after="20"/>
              <w:ind w:left="20"/>
              <w:jc w:val="both"/>
            </w:pPr>
            <w:r>
              <w:rPr>
                <w:rFonts w:ascii="Times New Roman"/>
                <w:b w:val="false"/>
                <w:i w:val="false"/>
                <w:color w:val="000000"/>
                <w:sz w:val="20"/>
              </w:rPr>
              <w:t>
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xml:space="preserve">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о естественных монополиях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естественных</w:t>
            </w:r>
            <w:r>
              <w:br/>
            </w:r>
            <w:r>
              <w:rPr>
                <w:rFonts w:ascii="Times New Roman"/>
                <w:b w:val="false"/>
                <w:i w:val="false"/>
                <w:color w:val="000000"/>
                <w:sz w:val="20"/>
              </w:rPr>
              <w:t>монополий и за соблюдением</w:t>
            </w:r>
            <w:r>
              <w:br/>
            </w:r>
            <w:r>
              <w:rPr>
                <w:rFonts w:ascii="Times New Roman"/>
                <w:b w:val="false"/>
                <w:i w:val="false"/>
                <w:color w:val="000000"/>
                <w:sz w:val="20"/>
              </w:rPr>
              <w:t>порядка ценообразования</w:t>
            </w:r>
            <w:r>
              <w:br/>
            </w:r>
            <w:r>
              <w:rPr>
                <w:rFonts w:ascii="Times New Roman"/>
                <w:b w:val="false"/>
                <w:i w:val="false"/>
                <w:color w:val="000000"/>
                <w:sz w:val="20"/>
              </w:rPr>
              <w:t>и обязанностей субъекта</w:t>
            </w:r>
            <w:r>
              <w:br/>
            </w:r>
            <w:r>
              <w:rPr>
                <w:rFonts w:ascii="Times New Roman"/>
                <w:b w:val="false"/>
                <w:i w:val="false"/>
                <w:color w:val="000000"/>
                <w:sz w:val="20"/>
              </w:rPr>
              <w:t>общественно значимого рынка</w:t>
            </w:r>
          </w:p>
        </w:tc>
      </w:tr>
    </w:tbl>
    <w:bookmarkStart w:name="z212" w:id="85"/>
    <w:p>
      <w:pPr>
        <w:spacing w:after="0"/>
        <w:ind w:left="0"/>
        <w:jc w:val="left"/>
      </w:pPr>
      <w:r>
        <w:rPr>
          <w:rFonts w:ascii="Times New Roman"/>
          <w:b/>
          <w:i w:val="false"/>
          <w:color w:val="000000"/>
        </w:rPr>
        <w:t xml:space="preserve"> Субъективные критерии за соблюдением порядка ценообразования и обязанностей субъекта общественно значимого рынка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Субъективные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предыдущего профилактического контроля с посещением субъекта (объекта) контроля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случае невозможности установления полного перечня потребителей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предельной цены на товары (работы, услуги), согласованной уполномоченным органом, осуществляющим руководство в сферах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отчетности и сведений, представляемых субъектом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w:t>
            </w:r>
          </w:p>
          <w:p>
            <w:pPr>
              <w:spacing w:after="20"/>
              <w:ind w:left="20"/>
              <w:jc w:val="both"/>
            </w:pPr>
            <w:r>
              <w:rPr>
                <w:rFonts w:ascii="Times New Roman"/>
                <w:b w:val="false"/>
                <w:i w:val="false"/>
                <w:color w:val="000000"/>
                <w:sz w:val="20"/>
              </w:rPr>
              <w:t>
1)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20"/>
              <w:ind w:left="20"/>
              <w:jc w:val="both"/>
            </w:pPr>
            <w:r>
              <w:rPr>
                <w:rFonts w:ascii="Times New Roman"/>
                <w:b w:val="false"/>
                <w:i w:val="false"/>
                <w:color w:val="000000"/>
                <w:sz w:val="20"/>
              </w:rPr>
              <w:t>
2) ежеквартальную финансовую отчетность не позднее последнего дня месяца, следующего за отчетным кварталом;</w:t>
            </w:r>
          </w:p>
          <w:p>
            <w:pPr>
              <w:spacing w:after="20"/>
              <w:ind w:left="20"/>
              <w:jc w:val="both"/>
            </w:pPr>
            <w:r>
              <w:rPr>
                <w:rFonts w:ascii="Times New Roman"/>
                <w:b w:val="false"/>
                <w:i w:val="false"/>
                <w:color w:val="000000"/>
                <w:sz w:val="20"/>
              </w:rPr>
              <w:t>
3)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4)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pPr>
              <w:spacing w:after="20"/>
              <w:ind w:left="20"/>
              <w:jc w:val="both"/>
            </w:pPr>
            <w:r>
              <w:rPr>
                <w:rFonts w:ascii="Times New Roman"/>
                <w:b w:val="false"/>
                <w:i w:val="false"/>
                <w:color w:val="000000"/>
                <w:sz w:val="20"/>
              </w:rPr>
              <w:t>
5)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p>
            <w:pPr>
              <w:spacing w:after="20"/>
              <w:ind w:left="20"/>
              <w:jc w:val="both"/>
            </w:pPr>
            <w:r>
              <w:rPr>
                <w:rFonts w:ascii="Times New Roman"/>
                <w:b w:val="false"/>
                <w:i w:val="false"/>
                <w:color w:val="000000"/>
                <w:sz w:val="20"/>
              </w:rPr>
              <w:t>
6)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информации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рынках, не превышая предельной цены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средствах массовой информации в порядке, определяемом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1)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2)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3)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4)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либо интернет-ресурсе уполномоченного органа, осуществляющего руководство в сферах естественных монополий, информации об отпускных ценах, о результатах публичных слушаний и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на покупку и (или) передачу электрической энергии, товарного газа, учтенных в предельных ценах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на субъектов контроля, поступивших от физических или юридических лиц, государственных органов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по несоблюдению требований законодательства Республики Казахстан в области общественно значимых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по несоблюдению требований законодательства Республики Казахстан в области общественно значимых рынков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2022 года № 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225" w:id="86"/>
    <w:p>
      <w:pPr>
        <w:spacing w:after="0"/>
        <w:ind w:left="0"/>
        <w:jc w:val="left"/>
      </w:pPr>
      <w:r>
        <w:rPr>
          <w:rFonts w:ascii="Times New Roman"/>
          <w:b/>
          <w:i w:val="false"/>
          <w:color w:val="000000"/>
        </w:rPr>
        <w:t xml:space="preserve"> Проверочный лист в сферах естественных монополий</w:t>
      </w:r>
    </w:p>
    <w:bookmarkEnd w:id="86"/>
    <w:bookmarkStart w:name="z226" w:id="87"/>
    <w:p>
      <w:pPr>
        <w:spacing w:after="0"/>
        <w:ind w:left="0"/>
        <w:jc w:val="left"/>
      </w:pPr>
      <w:r>
        <w:rPr>
          <w:rFonts w:ascii="Times New Roman"/>
          <w:b/>
          <w:i w:val="false"/>
          <w:color w:val="000000"/>
        </w:rPr>
        <w:t xml:space="preserve">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87"/>
    <w:p>
      <w:pPr>
        <w:spacing w:after="0"/>
        <w:ind w:left="0"/>
        <w:jc w:val="both"/>
      </w:pPr>
      <w:bookmarkStart w:name="z227" w:id="88"/>
      <w:r>
        <w:rPr>
          <w:rFonts w:ascii="Times New Roman"/>
          <w:b w:val="false"/>
          <w:i w:val="false"/>
          <w:color w:val="000000"/>
          <w:sz w:val="28"/>
        </w:rPr>
        <w:t>
      В отношении субъектов естественных монополий</w:t>
      </w:r>
    </w:p>
    <w:bookmarkEnd w:id="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Доведение до сведения потребителя информации об утверждении тарифа не позднее чем за тридцать календарных дней до его введения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заявкой для утверждения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Обращение в уполномоченный орган с заявлением о включении в Государственный регистр субъектов естественных монополий, об исключении из него, о внесении изменений и (или) дополнений в него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передавать принадлежащее на праве собственности или ином законном основании имущество, используемое в технологическом цикле при производстве и (или) предоставлении регулируемой услуге, в доверительное управление, имущественный наем (аренду), включая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доступа к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типовыми договорами индивидуальных договоров с потребителями на каждый вид предоставляемых регулируемых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в соответствии с типовым договором договоров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в столице, городах республиканского и областного значения только в электронной форме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Отчуждение имущества, используемого в технологическом цикле при производстве и (или) предоставлении регулируемой услуги, на торгах, за исключением случаев передачи имущества в собственность государства, а также передачи электрических сетей субъектами естественных монополий, предоставляющими регулируемую услугу по передаче электрической 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согласия уполномоченного органа на:</w:t>
            </w:r>
          </w:p>
          <w:p>
            <w:pPr>
              <w:spacing w:after="20"/>
              <w:ind w:left="20"/>
              <w:jc w:val="both"/>
            </w:pPr>
            <w:r>
              <w:rPr>
                <w:rFonts w:ascii="Times New Roman"/>
                <w:b w:val="false"/>
                <w:i w:val="false"/>
                <w:color w:val="000000"/>
                <w:sz w:val="20"/>
              </w:rPr>
              <w:t>
1) совершение сделок с имуществом, используемым для предоставления регулируемой услуги, если балансовая стоимость имущества, учтенного в бухгалтерском балансе на начало текущего года, превышает 0,05 процента от балансовой стоимости его активов в соответствии с бухгалтерским балансом на начало текущего года;</w:t>
            </w:r>
          </w:p>
          <w:p>
            <w:pPr>
              <w:spacing w:after="20"/>
              <w:ind w:left="20"/>
              <w:jc w:val="both"/>
            </w:pPr>
            <w:r>
              <w:rPr>
                <w:rFonts w:ascii="Times New Roman"/>
                <w:b w:val="false"/>
                <w:i w:val="false"/>
                <w:color w:val="000000"/>
                <w:sz w:val="20"/>
              </w:rPr>
              <w:t>
2) совершение сделок с имуществом, используемым для предоставления регулируемой услуги подъездных путей;</w:t>
            </w:r>
          </w:p>
          <w:p>
            <w:pPr>
              <w:spacing w:after="20"/>
              <w:ind w:left="20"/>
              <w:jc w:val="both"/>
            </w:pPr>
            <w:r>
              <w:rPr>
                <w:rFonts w:ascii="Times New Roman"/>
                <w:b w:val="false"/>
                <w:i w:val="false"/>
                <w:color w:val="000000"/>
                <w:sz w:val="20"/>
              </w:rPr>
              <w:t>
3) реорганизацию или ликвидацию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регулируемой услуги по тарифу, утвержденному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естественных монополиях"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дополнительных требований, не относящихся к предоставляемой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потребителям равных условий доступа к регулируемой услуге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ограничение деятельности потребителя по проведению работ в соответствии с техническими условиями на подключение к сетям субъекта естественной монополии или увеличения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требование согласования проекта строительства на соответствие техническим условиям на подключение к сетям субъекта естественной монополии или увеличение объема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запрету на взимание платы за предоставление информации о свободных мощностях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приема платежей от потребителей за предоставляемые им коммунальные услуги в сферах естественных монополий через собственные кассы и (или) банки второго уровня и организации, осуществляющие отдельные виды банковских операций, интернет ресурсы или терминалы, а при необходимости через платежных агентов и (или) платежные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установление потребителям приборов учета, за исключением случаев приемки и ввода объектов строительства в эксплуатацию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доступа к объектам утвержденной инвестиционной программы и предоставление информации об исполнении утвержденной инвестиционной программы лицам, уполномоченным на проведение общественного мониторинга и (или) технической экспертизы исполнения утвержденной инвестиционной программы, соблюдения показателей качества и надежности регулируемых услуг, достижения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с потребителей платы за приобретение и установку прибора учета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взимание отдельной платы за пользование сооружениями, устройствами и элементами подъездного пути, предназначенными для перемещения подвижного состава с одного пути на другой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Взимание за оказание услуг подъездных путей при отсутствии конкурентного подъездного пути платы по фактической протяженности подъездного пути, используемой потребителем для проезда подвижного состава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закупок товаров, работ, услуг на портале одним из следующих способов:</w:t>
            </w:r>
          </w:p>
          <w:p>
            <w:pPr>
              <w:spacing w:after="20"/>
              <w:ind w:left="20"/>
              <w:jc w:val="both"/>
            </w:pPr>
            <w:r>
              <w:rPr>
                <w:rFonts w:ascii="Times New Roman"/>
                <w:b w:val="false"/>
                <w:i w:val="false"/>
                <w:color w:val="000000"/>
                <w:sz w:val="20"/>
              </w:rPr>
              <w:t>
1) конкурса;</w:t>
            </w:r>
          </w:p>
          <w:p>
            <w:pPr>
              <w:spacing w:after="20"/>
              <w:ind w:left="20"/>
              <w:jc w:val="both"/>
            </w:pPr>
            <w:r>
              <w:rPr>
                <w:rFonts w:ascii="Times New Roman"/>
                <w:b w:val="false"/>
                <w:i w:val="false"/>
                <w:color w:val="000000"/>
                <w:sz w:val="20"/>
              </w:rPr>
              <w:t>
2) запроса ценовых предложений;</w:t>
            </w:r>
          </w:p>
          <w:p>
            <w:pPr>
              <w:spacing w:after="20"/>
              <w:ind w:left="20"/>
              <w:jc w:val="both"/>
            </w:pPr>
            <w:r>
              <w:rPr>
                <w:rFonts w:ascii="Times New Roman"/>
                <w:b w:val="false"/>
                <w:i w:val="false"/>
                <w:color w:val="000000"/>
                <w:sz w:val="20"/>
              </w:rPr>
              <w:t>
3) из одного источника;</w:t>
            </w:r>
          </w:p>
          <w:p>
            <w:pPr>
              <w:spacing w:after="20"/>
              <w:ind w:left="20"/>
              <w:jc w:val="both"/>
            </w:pPr>
            <w:r>
              <w:rPr>
                <w:rFonts w:ascii="Times New Roman"/>
                <w:b w:val="false"/>
                <w:i w:val="false"/>
                <w:color w:val="000000"/>
                <w:sz w:val="20"/>
              </w:rPr>
              <w:t>
4) через товарные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а в случае отсутствия своего интернет-ресурса предоставление ведомству уполномоченного органа или его территориальному органу информацию о портале, на котором осуществляются закупки, с указанием ссылки на портал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утверждению состава конкурсной комиссии, в том числе секретаря конкурсной комиссии и определению технических экспертов для определения соответствия товаров, работ, услуг техническим и качественным характеристикам в соответствии с конкурсной документацией, включая технические спецификации, планы, чертежи, эскизы, до публикации конкурсной документации на портале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решения конкурсной комиссией открытым голосованием и считать принятым, если за него проголосовало большинство от общего количества членов конкурсной комиссии. При равенстве голосов принятым считается решение, за которое проголосовал председатель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Разделение в конкурсной документации товаров, работ и услуг на части (лоты) по месту их поставки (выполнения, оказания) при проведении конкурса по закупкам однородных товаров, работ,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не позднее трех рабочих дней со дня получения запроса ответа на запрос (при наличии) потенциального поставщика по разъяснению конкурсной документации и направление такого разъяснения всем потенциальным поставщикам, которым была предоставлена конкурсная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Возвращение обеспечения конкурсной заявки в течение пяти рабочих дней со дня наступления следующих случаев:</w:t>
            </w:r>
          </w:p>
          <w:p>
            <w:pPr>
              <w:spacing w:after="20"/>
              <w:ind w:left="20"/>
              <w:jc w:val="both"/>
            </w:pPr>
            <w:r>
              <w:rPr>
                <w:rFonts w:ascii="Times New Roman"/>
                <w:b w:val="false"/>
                <w:i w:val="false"/>
                <w:color w:val="000000"/>
                <w:sz w:val="20"/>
              </w:rPr>
              <w:t>
1) истечения срока действия конкурсной заявки;</w:t>
            </w:r>
          </w:p>
          <w:p>
            <w:pPr>
              <w:spacing w:after="20"/>
              <w:ind w:left="20"/>
              <w:jc w:val="both"/>
            </w:pPr>
            <w:r>
              <w:rPr>
                <w:rFonts w:ascii="Times New Roman"/>
                <w:b w:val="false"/>
                <w:i w:val="false"/>
                <w:color w:val="000000"/>
                <w:sz w:val="20"/>
              </w:rPr>
              <w:t>
2) вступления в силу договора закупок;</w:t>
            </w:r>
          </w:p>
          <w:p>
            <w:pPr>
              <w:spacing w:after="20"/>
              <w:ind w:left="20"/>
              <w:jc w:val="both"/>
            </w:pPr>
            <w:r>
              <w:rPr>
                <w:rFonts w:ascii="Times New Roman"/>
                <w:b w:val="false"/>
                <w:i w:val="false"/>
                <w:color w:val="000000"/>
                <w:sz w:val="20"/>
              </w:rPr>
              <w:t>
3) отзыва конкурсной заявки до истечения окончательного срока представления конкурсных заявок;</w:t>
            </w:r>
          </w:p>
          <w:p>
            <w:pPr>
              <w:spacing w:after="20"/>
              <w:ind w:left="20"/>
              <w:jc w:val="both"/>
            </w:pPr>
            <w:r>
              <w:rPr>
                <w:rFonts w:ascii="Times New Roman"/>
                <w:b w:val="false"/>
                <w:i w:val="false"/>
                <w:color w:val="000000"/>
                <w:sz w:val="20"/>
              </w:rPr>
              <w:t>
4) отклонения конкурсной заявки, как не отвечающей требованиям конкурсной документации;</w:t>
            </w:r>
          </w:p>
          <w:p>
            <w:pPr>
              <w:spacing w:after="20"/>
              <w:ind w:left="20"/>
              <w:jc w:val="both"/>
            </w:pPr>
            <w:r>
              <w:rPr>
                <w:rFonts w:ascii="Times New Roman"/>
                <w:b w:val="false"/>
                <w:i w:val="false"/>
                <w:color w:val="000000"/>
                <w:sz w:val="20"/>
              </w:rPr>
              <w:t>
5) прекращения процедур закупок без определения победителя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конкурсной комиссией конкурсных заявок потенциальных поставщиков отдельно по каждому лоту не более пяти рабочих дней со дня окончания представления конкурсных заявок, установленного в объявлении о проведении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Непринятие конкурсной комиссией к оценке и сопоставлению конкурсной заявки потенциального поставщика по следующим основаниям:</w:t>
            </w:r>
          </w:p>
          <w:p>
            <w:pPr>
              <w:spacing w:after="20"/>
              <w:ind w:left="20"/>
              <w:jc w:val="both"/>
            </w:pPr>
            <w:r>
              <w:rPr>
                <w:rFonts w:ascii="Times New Roman"/>
                <w:b w:val="false"/>
                <w:i w:val="false"/>
                <w:color w:val="000000"/>
                <w:sz w:val="20"/>
              </w:rPr>
              <w:t>
1) не представлены документы</w:t>
            </w:r>
          </w:p>
          <w:p>
            <w:pPr>
              <w:spacing w:after="20"/>
              <w:ind w:left="20"/>
              <w:jc w:val="both"/>
            </w:pPr>
            <w:r>
              <w:rPr>
                <w:rFonts w:ascii="Times New Roman"/>
                <w:b w:val="false"/>
                <w:i w:val="false"/>
                <w:color w:val="000000"/>
                <w:sz w:val="20"/>
              </w:rPr>
              <w:t>1. Техническая спецификация с описанием функциональных, технических, качественных и эксплуатационных характеристик товаров, работ, услуг, а также документов, подтверждающих соответствие товаров, работ, услуг этим требованиям;</w:t>
            </w:r>
          </w:p>
          <w:p>
            <w:pPr>
              <w:spacing w:after="20"/>
              <w:ind w:left="20"/>
              <w:jc w:val="both"/>
            </w:pPr>
            <w:r>
              <w:rPr>
                <w:rFonts w:ascii="Times New Roman"/>
                <w:b w:val="false"/>
                <w:i w:val="false"/>
                <w:color w:val="000000"/>
                <w:sz w:val="20"/>
              </w:rPr>
              <w:t>2. Лицензии, разрешения (уведомления), патента, свидетельства, сертификата, диплома, сведения о которых подтверждаются в информационных системах государственных органов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3. Справки банка или филиала банка, в котором обслуживается потенциальный поставщик, об отсутствии просроченной задолженности по обязательствам потенциального поставщика, длящимся более трех месяцев,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Справка, выданная не ранее одного месяца, предшествующего дате вскрытия конвертов с конкурсными заявками;</w:t>
            </w:r>
          </w:p>
          <w:p>
            <w:pPr>
              <w:spacing w:after="20"/>
              <w:ind w:left="20"/>
              <w:jc w:val="both"/>
            </w:pPr>
            <w:r>
              <w:rPr>
                <w:rFonts w:ascii="Times New Roman"/>
                <w:b w:val="false"/>
                <w:i w:val="false"/>
                <w:color w:val="000000"/>
                <w:sz w:val="20"/>
              </w:rPr>
              <w:t>4. Справки соответствующего налогового органа об отсутствии налоговой задолженности либо о наличии налоговой задолженности менее одного тенге, выданной не ранее трех месяцев до дня вскрытия конкурсных заявок;</w:t>
            </w:r>
          </w:p>
          <w:p>
            <w:pPr>
              <w:spacing w:after="20"/>
              <w:ind w:left="20"/>
              <w:jc w:val="both"/>
            </w:pPr>
            <w:r>
              <w:rPr>
                <w:rFonts w:ascii="Times New Roman"/>
                <w:b w:val="false"/>
                <w:i w:val="false"/>
                <w:color w:val="000000"/>
                <w:sz w:val="20"/>
              </w:rPr>
              <w:t>5. В случае, если потенциальный поставщик не является резидентом Республики Казахстан и не зарегистрирован в качестве налогоплательщика Республики Казахстан, то представляются: справки налогового органа Республики Казахстан о том, что данный потенциальный поставщик является нерезидентом Республики Казахстан и не состоит на налоговом учете; правоустанавливающие документы с проставленным апостилем (легализованного);</w:t>
            </w:r>
          </w:p>
          <w:p>
            <w:pPr>
              <w:spacing w:after="20"/>
              <w:ind w:left="20"/>
              <w:jc w:val="both"/>
            </w:pPr>
            <w:r>
              <w:rPr>
                <w:rFonts w:ascii="Times New Roman"/>
                <w:b w:val="false"/>
                <w:i w:val="false"/>
                <w:color w:val="000000"/>
                <w:sz w:val="20"/>
              </w:rPr>
              <w:t>6. Платежные поручения, подтверждающие внесение обеспечения конкурсной заявки на банковский счет субъекта естественной монополии (при наличии соответствующего требования в конкурсной документации);</w:t>
            </w:r>
          </w:p>
          <w:p>
            <w:pPr>
              <w:spacing w:after="20"/>
              <w:ind w:left="20"/>
              <w:jc w:val="both"/>
            </w:pPr>
            <w:r>
              <w:rPr>
                <w:rFonts w:ascii="Times New Roman"/>
                <w:b w:val="false"/>
                <w:i w:val="false"/>
                <w:color w:val="000000"/>
                <w:sz w:val="20"/>
              </w:rPr>
              <w:t>7. В случае, если конкурс объявлен на закупки стратегического товара, то представляются документы, подтверждающие, что потенциальный поставщик является производителем стратегического товара, полученного от соответствующего компетентного органа;</w:t>
            </w:r>
          </w:p>
          <w:p>
            <w:pPr>
              <w:spacing w:after="20"/>
              <w:ind w:left="20"/>
              <w:jc w:val="both"/>
            </w:pPr>
            <w:r>
              <w:rPr>
                <w:rFonts w:ascii="Times New Roman"/>
                <w:b w:val="false"/>
                <w:i w:val="false"/>
                <w:color w:val="000000"/>
                <w:sz w:val="20"/>
              </w:rPr>
              <w:t>8. Сведения о государственной регистрации (перерегистрации) юридического лица, выданные регистрирующим органом;</w:t>
            </w:r>
          </w:p>
          <w:p>
            <w:pPr>
              <w:spacing w:after="20"/>
              <w:ind w:left="20"/>
              <w:jc w:val="both"/>
            </w:pPr>
            <w:r>
              <w:rPr>
                <w:rFonts w:ascii="Times New Roman"/>
                <w:b w:val="false"/>
                <w:i w:val="false"/>
                <w:color w:val="000000"/>
                <w:sz w:val="20"/>
              </w:rPr>
              <w:t>9. В случае, если потенциальный поставщик является плательщиком налога на добавленную стоимость, копии свидетельства о постановке на учет по налогу на добавленную стоимость либо бумажной копии электронного документа).</w:t>
            </w:r>
          </w:p>
          <w:p>
            <w:pPr>
              <w:spacing w:after="20"/>
              <w:ind w:left="20"/>
              <w:jc w:val="both"/>
            </w:pPr>
            <w:r>
              <w:rPr>
                <w:rFonts w:ascii="Times New Roman"/>
                <w:b w:val="false"/>
                <w:i w:val="false"/>
                <w:color w:val="000000"/>
                <w:sz w:val="20"/>
              </w:rPr>
              <w:t>
2) потенциальный поставщик не внес обеспечение конкурсной заявки;</w:t>
            </w:r>
          </w:p>
          <w:p>
            <w:pPr>
              <w:spacing w:after="20"/>
              <w:ind w:left="20"/>
              <w:jc w:val="both"/>
            </w:pPr>
            <w:r>
              <w:rPr>
                <w:rFonts w:ascii="Times New Roman"/>
                <w:b w:val="false"/>
                <w:i w:val="false"/>
                <w:color w:val="000000"/>
                <w:sz w:val="20"/>
              </w:rPr>
              <w:t>
3) конкурсная заявка, содержит документы, представленные или оформленные с нарушением требований;</w:t>
            </w:r>
          </w:p>
          <w:p>
            <w:pPr>
              <w:spacing w:after="20"/>
              <w:ind w:left="20"/>
              <w:jc w:val="both"/>
            </w:pPr>
            <w:r>
              <w:rPr>
                <w:rFonts w:ascii="Times New Roman"/>
                <w:b w:val="false"/>
                <w:i w:val="false"/>
                <w:color w:val="000000"/>
                <w:sz w:val="20"/>
              </w:rPr>
              <w:t>
4) наличие в справке соответствующего налогового органа сведений о налоговой задолженности и задолженности по обязательным пенсионным взносам и социальным отчислениям в размере одного тенге и более;</w:t>
            </w:r>
          </w:p>
          <w:p>
            <w:pPr>
              <w:spacing w:after="20"/>
              <w:ind w:left="20"/>
              <w:jc w:val="both"/>
            </w:pPr>
            <w:r>
              <w:rPr>
                <w:rFonts w:ascii="Times New Roman"/>
                <w:b w:val="false"/>
                <w:i w:val="false"/>
                <w:color w:val="000000"/>
                <w:sz w:val="20"/>
              </w:rPr>
              <w:t>
5) наличие справки банка или филиала банка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p>
            <w:pPr>
              <w:spacing w:after="20"/>
              <w:ind w:left="20"/>
              <w:jc w:val="both"/>
            </w:pPr>
            <w:r>
              <w:rPr>
                <w:rFonts w:ascii="Times New Roman"/>
                <w:b w:val="false"/>
                <w:i w:val="false"/>
                <w:color w:val="000000"/>
                <w:sz w:val="20"/>
              </w:rPr>
              <w:t>
6)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p>
            <w:pPr>
              <w:spacing w:after="20"/>
              <w:ind w:left="20"/>
              <w:jc w:val="both"/>
            </w:pPr>
            <w:r>
              <w:rPr>
                <w:rFonts w:ascii="Times New Roman"/>
                <w:b w:val="false"/>
                <w:i w:val="false"/>
                <w:color w:val="000000"/>
                <w:sz w:val="20"/>
              </w:rPr>
              <w:t>
7) установлен факт представления недостоверной информации;</w:t>
            </w:r>
          </w:p>
          <w:p>
            <w:pPr>
              <w:spacing w:after="20"/>
              <w:ind w:left="20"/>
              <w:jc w:val="both"/>
            </w:pPr>
            <w:r>
              <w:rPr>
                <w:rFonts w:ascii="Times New Roman"/>
                <w:b w:val="false"/>
                <w:i w:val="false"/>
                <w:color w:val="000000"/>
                <w:sz w:val="20"/>
              </w:rPr>
              <w:t>
8) потенциальный поставщик является аффилированным лицом другого потенциального поставщика, подавшего заявку на участие в данном конкурсе (лоте), если в конкурсе приняли участие только аффилированные между собой лица;</w:t>
            </w:r>
          </w:p>
          <w:p>
            <w:pPr>
              <w:spacing w:after="20"/>
              <w:ind w:left="20"/>
              <w:jc w:val="both"/>
            </w:pPr>
            <w:r>
              <w:rPr>
                <w:rFonts w:ascii="Times New Roman"/>
                <w:b w:val="false"/>
                <w:i w:val="false"/>
                <w:color w:val="000000"/>
                <w:sz w:val="20"/>
              </w:rPr>
              <w:t>
9) цены заявок в тенге потенциальных поставщиков, допущенных к участию в конкурсе, превышают сумму, выделенную на закупки предусмотренную перечнем;</w:t>
            </w:r>
          </w:p>
          <w:p>
            <w:pPr>
              <w:spacing w:after="20"/>
              <w:ind w:left="20"/>
              <w:jc w:val="both"/>
            </w:pPr>
            <w:r>
              <w:rPr>
                <w:rFonts w:ascii="Times New Roman"/>
                <w:b w:val="false"/>
                <w:i w:val="false"/>
                <w:color w:val="000000"/>
                <w:sz w:val="20"/>
              </w:rPr>
              <w:t>
10) ценовое предложение потенциального поставщика признано конкурсной комиссией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ценового предложения демпинговым в случае, если оно более чем на 50 процентов ниже суммы, предусмотренной на закупки конкурсной документацией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конкурсной комиссией конкурса (лота) несостоявшимся в случае, если:</w:t>
            </w:r>
          </w:p>
          <w:p>
            <w:pPr>
              <w:spacing w:after="20"/>
              <w:ind w:left="20"/>
              <w:jc w:val="both"/>
            </w:pPr>
            <w:r>
              <w:rPr>
                <w:rFonts w:ascii="Times New Roman"/>
                <w:b w:val="false"/>
                <w:i w:val="false"/>
                <w:color w:val="000000"/>
                <w:sz w:val="20"/>
              </w:rPr>
              <w:t>
1) после непринятия к оценке и сопоставлению конкурсных заявок потенциальных поставщиков, осталось менее двух конкурсных заявок;</w:t>
            </w:r>
          </w:p>
          <w:p>
            <w:pPr>
              <w:spacing w:after="20"/>
              <w:ind w:left="20"/>
              <w:jc w:val="both"/>
            </w:pPr>
            <w:r>
              <w:rPr>
                <w:rFonts w:ascii="Times New Roman"/>
                <w:b w:val="false"/>
                <w:i w:val="false"/>
                <w:color w:val="000000"/>
                <w:sz w:val="20"/>
              </w:rPr>
              <w:t>
2) на участие в конкурсе представили заявку менее двух потенциальных поставщиков;</w:t>
            </w:r>
          </w:p>
          <w:p>
            <w:pPr>
              <w:spacing w:after="20"/>
              <w:ind w:left="20"/>
              <w:jc w:val="both"/>
            </w:pPr>
            <w:r>
              <w:rPr>
                <w:rFonts w:ascii="Times New Roman"/>
                <w:b w:val="false"/>
                <w:i w:val="false"/>
                <w:color w:val="000000"/>
                <w:sz w:val="20"/>
              </w:rPr>
              <w:t>
3) победитель и потенциальный поставщик, занявший второе место, уклоняются от заключения договора о закупках в установленные сроки (не позднее пяти рабочих дней)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одного из решений если конкурс признан несостоявшимся в целом или по какой-либо части (лоту):</w:t>
            </w:r>
          </w:p>
          <w:p>
            <w:pPr>
              <w:spacing w:after="20"/>
              <w:ind w:left="20"/>
              <w:jc w:val="both"/>
            </w:pPr>
            <w:r>
              <w:rPr>
                <w:rFonts w:ascii="Times New Roman"/>
                <w:b w:val="false"/>
                <w:i w:val="false"/>
                <w:color w:val="000000"/>
                <w:sz w:val="20"/>
              </w:rPr>
              <w:t>
1) об изменении конкурсной документации и проведении повторного конкурса;</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сопоставление конкурсной комиссией конкурсных заявок, за исключением конкурсных заявок потенциальных поставщиков, не принятых к оценке и сопоставлению, и определение выигравшей конкурсной заявки на основе самой низкой цены и с учетом следующих критериев:</w:t>
            </w:r>
          </w:p>
          <w:p>
            <w:pPr>
              <w:spacing w:after="20"/>
              <w:ind w:left="20"/>
              <w:jc w:val="both"/>
            </w:pPr>
            <w:r>
              <w:rPr>
                <w:rFonts w:ascii="Times New Roman"/>
                <w:b w:val="false"/>
                <w:i w:val="false"/>
                <w:color w:val="000000"/>
                <w:sz w:val="20"/>
              </w:rPr>
              <w:t>
1) расходов на эксплуатацию, техническое обслуживание и ремонт;</w:t>
            </w:r>
          </w:p>
          <w:p>
            <w:pPr>
              <w:spacing w:after="20"/>
              <w:ind w:left="20"/>
              <w:jc w:val="both"/>
            </w:pPr>
            <w:r>
              <w:rPr>
                <w:rFonts w:ascii="Times New Roman"/>
                <w:b w:val="false"/>
                <w:i w:val="false"/>
                <w:color w:val="000000"/>
                <w:sz w:val="20"/>
              </w:rPr>
              <w:t>
2) сроков поставки товаров, выполнения работ, предоставления услуг;</w:t>
            </w:r>
          </w:p>
          <w:p>
            <w:pPr>
              <w:spacing w:after="20"/>
              <w:ind w:left="20"/>
              <w:jc w:val="both"/>
            </w:pPr>
            <w:r>
              <w:rPr>
                <w:rFonts w:ascii="Times New Roman"/>
                <w:b w:val="false"/>
                <w:i w:val="false"/>
                <w:color w:val="000000"/>
                <w:sz w:val="20"/>
              </w:rPr>
              <w:t>
3) соответствия функциональных, технических и качественных характеристик товаров, работ, услуг;</w:t>
            </w:r>
          </w:p>
          <w:p>
            <w:pPr>
              <w:spacing w:after="20"/>
              <w:ind w:left="20"/>
              <w:jc w:val="both"/>
            </w:pPr>
            <w:r>
              <w:rPr>
                <w:rFonts w:ascii="Times New Roman"/>
                <w:b w:val="false"/>
                <w:i w:val="false"/>
                <w:color w:val="000000"/>
                <w:sz w:val="20"/>
              </w:rPr>
              <w:t>
4) условия гарантий на товары, работы и услуги;</w:t>
            </w:r>
          </w:p>
          <w:p>
            <w:pPr>
              <w:spacing w:after="20"/>
              <w:ind w:left="20"/>
              <w:jc w:val="both"/>
            </w:pPr>
            <w:r>
              <w:rPr>
                <w:rFonts w:ascii="Times New Roman"/>
                <w:b w:val="false"/>
                <w:i w:val="false"/>
                <w:color w:val="000000"/>
                <w:sz w:val="20"/>
              </w:rPr>
              <w:t>
5) квалификационных данных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Подведение конкурсной комиссией итогов конкурса в срок не более пяти рабочих дней со дня вскрытия конкурсных заявок, формирование и размещение на портале протокол об итогах конкурса по закупкам товаров, работ, услуг, подписанный электронной цифровой подписью субъекта естественной монополии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 наличии следующей информации при оформлении конкурсной комиссией протокола об итогах конкурса:</w:t>
            </w:r>
          </w:p>
          <w:p>
            <w:pPr>
              <w:spacing w:after="20"/>
              <w:ind w:left="20"/>
              <w:jc w:val="both"/>
            </w:pPr>
            <w:r>
              <w:rPr>
                <w:rFonts w:ascii="Times New Roman"/>
                <w:b w:val="false"/>
                <w:i w:val="false"/>
                <w:color w:val="000000"/>
                <w:sz w:val="20"/>
              </w:rPr>
              <w:t>
1) наименования и краткие описания закупаемых товаров, работ, услуг;</w:t>
            </w:r>
          </w:p>
          <w:p>
            <w:pPr>
              <w:spacing w:after="20"/>
              <w:ind w:left="20"/>
              <w:jc w:val="both"/>
            </w:pPr>
            <w:r>
              <w:rPr>
                <w:rFonts w:ascii="Times New Roman"/>
                <w:b w:val="false"/>
                <w:i w:val="false"/>
                <w:color w:val="000000"/>
                <w:sz w:val="20"/>
              </w:rPr>
              <w:t>
2) наименования и места нахождения потенциальных поставщиков, представивших конкурсные заявки;</w:t>
            </w:r>
          </w:p>
          <w:p>
            <w:pPr>
              <w:spacing w:after="20"/>
              <w:ind w:left="20"/>
              <w:jc w:val="both"/>
            </w:pPr>
            <w:r>
              <w:rPr>
                <w:rFonts w:ascii="Times New Roman"/>
                <w:b w:val="false"/>
                <w:i w:val="false"/>
                <w:color w:val="000000"/>
                <w:sz w:val="20"/>
              </w:rPr>
              <w:t>
3) квалификационные данные потенциальных поставщиков, представивших конкурсные заявки;</w:t>
            </w:r>
          </w:p>
          <w:p>
            <w:pPr>
              <w:spacing w:after="20"/>
              <w:ind w:left="20"/>
              <w:jc w:val="both"/>
            </w:pPr>
            <w:r>
              <w:rPr>
                <w:rFonts w:ascii="Times New Roman"/>
                <w:b w:val="false"/>
                <w:i w:val="false"/>
                <w:color w:val="000000"/>
                <w:sz w:val="20"/>
              </w:rPr>
              <w:t>
4) цена и другие основные условия каждой конкурсной заявки;</w:t>
            </w:r>
          </w:p>
          <w:p>
            <w:pPr>
              <w:spacing w:after="20"/>
              <w:ind w:left="20"/>
              <w:jc w:val="both"/>
            </w:pPr>
            <w:r>
              <w:rPr>
                <w:rFonts w:ascii="Times New Roman"/>
                <w:b w:val="false"/>
                <w:i w:val="false"/>
                <w:color w:val="000000"/>
                <w:sz w:val="20"/>
              </w:rPr>
              <w:t>
5) изложение оценки и сопоставления конкурсных заявок;</w:t>
            </w:r>
          </w:p>
          <w:p>
            <w:pPr>
              <w:spacing w:after="20"/>
              <w:ind w:left="20"/>
              <w:jc w:val="both"/>
            </w:pPr>
            <w:r>
              <w:rPr>
                <w:rFonts w:ascii="Times New Roman"/>
                <w:b w:val="false"/>
                <w:i w:val="false"/>
                <w:color w:val="000000"/>
                <w:sz w:val="20"/>
              </w:rPr>
              <w:t>
6) в случае не принятия к оценке и сопоставлению конкурсных заявок – основания не принятия их к оценке и сопоставлению;</w:t>
            </w:r>
          </w:p>
          <w:p>
            <w:pPr>
              <w:spacing w:after="20"/>
              <w:ind w:left="20"/>
              <w:jc w:val="both"/>
            </w:pPr>
            <w:r>
              <w:rPr>
                <w:rFonts w:ascii="Times New Roman"/>
                <w:b w:val="false"/>
                <w:i w:val="false"/>
                <w:color w:val="000000"/>
                <w:sz w:val="20"/>
              </w:rPr>
              <w:t>
7) наименование и местонахождение победителя конкурса по каждому лоту и условия, по которым определен победитель;</w:t>
            </w:r>
          </w:p>
          <w:p>
            <w:pPr>
              <w:spacing w:after="20"/>
              <w:ind w:left="20"/>
              <w:jc w:val="both"/>
            </w:pPr>
            <w:r>
              <w:rPr>
                <w:rFonts w:ascii="Times New Roman"/>
                <w:b w:val="false"/>
                <w:i w:val="false"/>
                <w:color w:val="000000"/>
                <w:sz w:val="20"/>
              </w:rPr>
              <w:t>
8) наименование, цена потенциального поставщика, занявшего второе место;</w:t>
            </w:r>
          </w:p>
          <w:p>
            <w:pPr>
              <w:spacing w:after="20"/>
              <w:ind w:left="20"/>
              <w:jc w:val="both"/>
            </w:pPr>
            <w:r>
              <w:rPr>
                <w:rFonts w:ascii="Times New Roman"/>
                <w:b w:val="false"/>
                <w:i w:val="false"/>
                <w:color w:val="000000"/>
                <w:sz w:val="20"/>
              </w:rPr>
              <w:t>
9) если в результате конкурса не определен победитель – основания для принятия такого решения конкурсной комиссией;</w:t>
            </w:r>
          </w:p>
          <w:p>
            <w:pPr>
              <w:spacing w:after="20"/>
              <w:ind w:left="20"/>
              <w:jc w:val="both"/>
            </w:pPr>
            <w:r>
              <w:rPr>
                <w:rFonts w:ascii="Times New Roman"/>
                <w:b w:val="false"/>
                <w:i w:val="false"/>
                <w:color w:val="000000"/>
                <w:sz w:val="20"/>
              </w:rPr>
              <w:t>
10) обобщенное изложение запросов о разъяснении конкурсной документации, ответов на них, а также обобщенное изложение изменений и дополнений в конкурсной документации;</w:t>
            </w:r>
          </w:p>
          <w:p>
            <w:pPr>
              <w:spacing w:after="20"/>
              <w:ind w:left="20"/>
              <w:jc w:val="both"/>
            </w:pPr>
            <w:r>
              <w:rPr>
                <w:rFonts w:ascii="Times New Roman"/>
                <w:b w:val="false"/>
                <w:i w:val="false"/>
                <w:color w:val="000000"/>
                <w:sz w:val="20"/>
              </w:rPr>
              <w:t>
11) срок, в течение которого подписывается договор о закупках (но не более десяти рабочих дней со дня получения уведомления победителем конкурса);</w:t>
            </w:r>
          </w:p>
          <w:p>
            <w:pPr>
              <w:spacing w:after="20"/>
              <w:ind w:left="20"/>
              <w:jc w:val="both"/>
            </w:pPr>
            <w:r>
              <w:rPr>
                <w:rFonts w:ascii="Times New Roman"/>
                <w:b w:val="false"/>
                <w:i w:val="false"/>
                <w:color w:val="000000"/>
                <w:sz w:val="20"/>
              </w:rPr>
              <w:t>
12) информация о привлечении технических экспертов;</w:t>
            </w:r>
          </w:p>
          <w:p>
            <w:pPr>
              <w:spacing w:after="20"/>
              <w:ind w:left="20"/>
              <w:jc w:val="both"/>
            </w:pPr>
            <w:r>
              <w:rPr>
                <w:rFonts w:ascii="Times New Roman"/>
                <w:b w:val="false"/>
                <w:i w:val="false"/>
                <w:color w:val="000000"/>
                <w:sz w:val="20"/>
              </w:rPr>
              <w:t>
13) в случае, если конкурс состоялся, то сумма, выделенная субъектом естественной монополии на закупки данных товаров, работ, услуг, предусмотренная Перечнем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направлению посредством портала в течение трех рабочих дней со дня подведения итогов конкурса победителю конкурса уведомления и подписанного субъектом естественной монополии договора о закупках, соответствующий проекту договора в конкурсной документации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предоставлении по требованию участника конкурса исчерпывающей информации о результатах конкурса и причинах выбора победителя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проведению закупок способом запроса ценовых предложений на однородные товары, работы, услуги, если годовые объемы таких однородных товаров, работ, услуг в стоимостном выражении не превышают четырехтысячекратного размера месячного расчетного показателя, установленного на соответствующий финансовый год. При этом решающим условием является цена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дробления годового объема закупок однородных видов товаров, работ, услуг в течение финансового года на части в целях применения способа выбора поставщика с использованием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объявления о закупках способом запроса ценовых предложений и проекта договора, не менее чем за пять рабочих дней до окончания срока представления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отклонению ценового предложения потенциального поставщика, в случае если:</w:t>
            </w:r>
          </w:p>
          <w:p>
            <w:pPr>
              <w:spacing w:after="20"/>
              <w:ind w:left="20"/>
              <w:jc w:val="both"/>
            </w:pPr>
            <w:r>
              <w:rPr>
                <w:rFonts w:ascii="Times New Roman"/>
                <w:b w:val="false"/>
                <w:i w:val="false"/>
                <w:color w:val="000000"/>
                <w:sz w:val="20"/>
              </w:rPr>
              <w:t>
1) оно превышает сумму, выделенную на закупки;</w:t>
            </w:r>
          </w:p>
          <w:p>
            <w:pPr>
              <w:spacing w:after="20"/>
              <w:ind w:left="20"/>
              <w:jc w:val="both"/>
            </w:pPr>
            <w:r>
              <w:rPr>
                <w:rFonts w:ascii="Times New Roman"/>
                <w:b w:val="false"/>
                <w:i w:val="false"/>
                <w:color w:val="000000"/>
                <w:sz w:val="20"/>
              </w:rPr>
              <w:t>
2) предлагаемые потенциальным поставщиком товары, работы, услуги не соответствуют требованиям технической спецификации субъекта естественной монополии;</w:t>
            </w:r>
          </w:p>
          <w:p>
            <w:pPr>
              <w:spacing w:after="20"/>
              <w:ind w:left="20"/>
              <w:jc w:val="both"/>
            </w:pPr>
            <w:r>
              <w:rPr>
                <w:rFonts w:ascii="Times New Roman"/>
                <w:b w:val="false"/>
                <w:i w:val="false"/>
                <w:color w:val="000000"/>
                <w:sz w:val="20"/>
              </w:rPr>
              <w:t>
3) оно не соответствует требованиям;</w:t>
            </w:r>
          </w:p>
          <w:p>
            <w:pPr>
              <w:spacing w:after="20"/>
              <w:ind w:left="20"/>
              <w:jc w:val="both"/>
            </w:pPr>
            <w:r>
              <w:rPr>
                <w:rFonts w:ascii="Times New Roman"/>
                <w:b w:val="false"/>
                <w:i w:val="false"/>
                <w:color w:val="000000"/>
                <w:sz w:val="20"/>
              </w:rPr>
              <w:t>
4) потенциальный поставщик предоставил более одного ценового предложения;</w:t>
            </w:r>
          </w:p>
          <w:p>
            <w:pPr>
              <w:spacing w:after="20"/>
              <w:ind w:left="20"/>
              <w:jc w:val="both"/>
            </w:pPr>
            <w:r>
              <w:rPr>
                <w:rFonts w:ascii="Times New Roman"/>
                <w:b w:val="false"/>
                <w:i w:val="false"/>
                <w:color w:val="000000"/>
                <w:sz w:val="20"/>
              </w:rPr>
              <w:t>
5) потенциальный поставщик аффилирован с другими потенциальными поставщиками;</w:t>
            </w:r>
          </w:p>
          <w:p>
            <w:pPr>
              <w:spacing w:after="20"/>
              <w:ind w:left="20"/>
              <w:jc w:val="both"/>
            </w:pPr>
            <w:r>
              <w:rPr>
                <w:rFonts w:ascii="Times New Roman"/>
                <w:b w:val="false"/>
                <w:i w:val="false"/>
                <w:color w:val="000000"/>
                <w:sz w:val="20"/>
              </w:rPr>
              <w:t>
6) ценовое предложение потенциального поставщика признано демпинговым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признанию закупок способом запроса ценовых предложений несостоявшимися в случае:</w:t>
            </w:r>
          </w:p>
          <w:p>
            <w:pPr>
              <w:spacing w:after="20"/>
              <w:ind w:left="20"/>
              <w:jc w:val="both"/>
            </w:pPr>
            <w:r>
              <w:rPr>
                <w:rFonts w:ascii="Times New Roman"/>
                <w:b w:val="false"/>
                <w:i w:val="false"/>
                <w:color w:val="000000"/>
                <w:sz w:val="20"/>
              </w:rPr>
              <w:t>
1) представления менее двух ценовых предложений;</w:t>
            </w:r>
          </w:p>
          <w:p>
            <w:pPr>
              <w:spacing w:after="20"/>
              <w:ind w:left="20"/>
              <w:jc w:val="both"/>
            </w:pPr>
            <w:r>
              <w:rPr>
                <w:rFonts w:ascii="Times New Roman"/>
                <w:b w:val="false"/>
                <w:i w:val="false"/>
                <w:color w:val="000000"/>
                <w:sz w:val="20"/>
              </w:rPr>
              <w:t>
2) если после автоматического отклонения порталом ценовых предложений осталось менее двух ценовых предложений;</w:t>
            </w:r>
          </w:p>
          <w:p>
            <w:pPr>
              <w:spacing w:after="20"/>
              <w:ind w:left="20"/>
              <w:jc w:val="both"/>
            </w:pPr>
            <w:r>
              <w:rPr>
                <w:rFonts w:ascii="Times New Roman"/>
                <w:b w:val="false"/>
                <w:i w:val="false"/>
                <w:color w:val="000000"/>
                <w:sz w:val="20"/>
              </w:rPr>
              <w:t>
3) победитель и потенциальный поставщик, занявшие второе место, уклонились от заключения договора о закупках в не позднее пяти рабочих дней со дня получения уведомления о признании победителем закупок способом запроса ценовых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одного из решений если закупки способом запроса ценовых предложений признаны автоматически порталом несостоявшимися:</w:t>
            </w:r>
          </w:p>
          <w:p>
            <w:pPr>
              <w:spacing w:after="20"/>
              <w:ind w:left="20"/>
              <w:jc w:val="both"/>
            </w:pPr>
            <w:r>
              <w:rPr>
                <w:rFonts w:ascii="Times New Roman"/>
                <w:b w:val="false"/>
                <w:i w:val="false"/>
                <w:color w:val="000000"/>
                <w:sz w:val="20"/>
              </w:rPr>
              <w:t>
1) об изменении условий закупок и о проведении повторных закупок способом запроса ценовых предложений;</w:t>
            </w:r>
          </w:p>
          <w:p>
            <w:pPr>
              <w:spacing w:after="20"/>
              <w:ind w:left="20"/>
              <w:jc w:val="both"/>
            </w:pPr>
            <w:r>
              <w:rPr>
                <w:rFonts w:ascii="Times New Roman"/>
                <w:b w:val="false"/>
                <w:i w:val="false"/>
                <w:color w:val="000000"/>
                <w:sz w:val="20"/>
              </w:rPr>
              <w:t>
2) об осуществлении закупок способом из одного источника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закупок способом из одного источника посредством портала только в случаях:</w:t>
            </w:r>
          </w:p>
          <w:p>
            <w:pPr>
              <w:spacing w:after="20"/>
              <w:ind w:left="20"/>
              <w:jc w:val="both"/>
            </w:pPr>
            <w:r>
              <w:rPr>
                <w:rFonts w:ascii="Times New Roman"/>
                <w:b w:val="false"/>
                <w:i w:val="false"/>
                <w:color w:val="000000"/>
                <w:sz w:val="20"/>
              </w:rPr>
              <w:t>
1) если закупки способом конкурса или запроса ценовых предложений признаны несостоявшимися;</w:t>
            </w:r>
          </w:p>
          <w:p>
            <w:pPr>
              <w:spacing w:after="20"/>
              <w:ind w:left="20"/>
              <w:jc w:val="both"/>
            </w:pPr>
            <w:r>
              <w:rPr>
                <w:rFonts w:ascii="Times New Roman"/>
                <w:b w:val="false"/>
                <w:i w:val="false"/>
                <w:color w:val="000000"/>
                <w:sz w:val="20"/>
              </w:rPr>
              <w:t>
2) приобретения товаров, работ, услуг по ценам, тарифам, на которые установлено государственное регулирование;</w:t>
            </w:r>
          </w:p>
          <w:p>
            <w:pPr>
              <w:spacing w:after="20"/>
              <w:ind w:left="20"/>
              <w:jc w:val="both"/>
            </w:pPr>
            <w:r>
              <w:rPr>
                <w:rFonts w:ascii="Times New Roman"/>
                <w:b w:val="false"/>
                <w:i w:val="false"/>
                <w:color w:val="000000"/>
                <w:sz w:val="20"/>
              </w:rPr>
              <w:t>
3) приобретения товаров, работ, услуг у лица, обладающего исключительными правами в отношении приобретаемых товаров, работ, услуг, или у лица, являющегося субъектом государственной или естественной монополии;</w:t>
            </w:r>
          </w:p>
          <w:p>
            <w:pPr>
              <w:spacing w:after="20"/>
              <w:ind w:left="20"/>
              <w:jc w:val="both"/>
            </w:pPr>
            <w:r>
              <w:rPr>
                <w:rFonts w:ascii="Times New Roman"/>
                <w:b w:val="false"/>
                <w:i w:val="false"/>
                <w:color w:val="000000"/>
                <w:sz w:val="20"/>
              </w:rPr>
              <w:t>
4) приобретения товаров, работ, услуг вследствие возникновения обстоятельств непреодолимой силы, в том числе локализации и (или) ликвидации последствий чрезвычайных ситуаций;</w:t>
            </w:r>
          </w:p>
          <w:p>
            <w:pPr>
              <w:spacing w:after="20"/>
              <w:ind w:left="20"/>
              <w:jc w:val="both"/>
            </w:pPr>
            <w:r>
              <w:rPr>
                <w:rFonts w:ascii="Times New Roman"/>
                <w:b w:val="false"/>
                <w:i w:val="false"/>
                <w:color w:val="000000"/>
                <w:sz w:val="20"/>
              </w:rPr>
              <w:t>
5) приобретения товаров, работ, услуг, связанных с представительскими расходами;</w:t>
            </w:r>
          </w:p>
          <w:p>
            <w:pPr>
              <w:spacing w:after="20"/>
              <w:ind w:left="20"/>
              <w:jc w:val="both"/>
            </w:pPr>
            <w:r>
              <w:rPr>
                <w:rFonts w:ascii="Times New Roman"/>
                <w:b w:val="false"/>
                <w:i w:val="false"/>
                <w:color w:val="000000"/>
                <w:sz w:val="20"/>
              </w:rPr>
              <w:t>
6) приобретения периодических печатных изданий на бумажном носителе и (или) в электронной форме;</w:t>
            </w:r>
          </w:p>
          <w:p>
            <w:pPr>
              <w:spacing w:after="20"/>
              <w:ind w:left="20"/>
              <w:jc w:val="both"/>
            </w:pPr>
            <w:r>
              <w:rPr>
                <w:rFonts w:ascii="Times New Roman"/>
                <w:b w:val="false"/>
                <w:i w:val="false"/>
                <w:color w:val="000000"/>
                <w:sz w:val="20"/>
              </w:rPr>
              <w:t>
7) приобретения имущества (активов), реализуемого на торгах (аукционах):</w:t>
            </w:r>
          </w:p>
          <w:p>
            <w:pPr>
              <w:spacing w:after="20"/>
              <w:ind w:left="20"/>
              <w:jc w:val="both"/>
            </w:pPr>
            <w:r>
              <w:rPr>
                <w:rFonts w:ascii="Times New Roman"/>
                <w:b w:val="false"/>
                <w:i w:val="false"/>
                <w:color w:val="000000"/>
                <w:sz w:val="20"/>
              </w:rPr>
              <w:t>
судебными исполнителями;</w:t>
            </w:r>
          </w:p>
          <w:p>
            <w:pPr>
              <w:spacing w:after="20"/>
              <w:ind w:left="20"/>
              <w:jc w:val="both"/>
            </w:pPr>
            <w:r>
              <w:rPr>
                <w:rFonts w:ascii="Times New Roman"/>
                <w:b w:val="false"/>
                <w:i w:val="false"/>
                <w:color w:val="000000"/>
                <w:sz w:val="20"/>
              </w:rPr>
              <w:t>
по реабилитации и банкротстве;</w:t>
            </w:r>
          </w:p>
          <w:p>
            <w:pPr>
              <w:spacing w:after="20"/>
              <w:ind w:left="20"/>
              <w:jc w:val="both"/>
            </w:pPr>
            <w:r>
              <w:rPr>
                <w:rFonts w:ascii="Times New Roman"/>
                <w:b w:val="false"/>
                <w:i w:val="false"/>
                <w:color w:val="000000"/>
                <w:sz w:val="20"/>
              </w:rPr>
              <w:t>
при приватизации государственного имущества;</w:t>
            </w:r>
          </w:p>
          <w:p>
            <w:pPr>
              <w:spacing w:after="20"/>
              <w:ind w:left="20"/>
              <w:jc w:val="both"/>
            </w:pPr>
            <w:r>
              <w:rPr>
                <w:rFonts w:ascii="Times New Roman"/>
                <w:b w:val="false"/>
                <w:i w:val="false"/>
                <w:color w:val="000000"/>
                <w:sz w:val="20"/>
              </w:rPr>
              <w:t>
8) приобретения однородных товаров, работ, услуг, если годовой объем таких однородных товаров, работ, услуг в стоимостном выражении не превышает стократного размера месячного расчетного показателя;</w:t>
            </w:r>
          </w:p>
          <w:p>
            <w:pPr>
              <w:spacing w:after="20"/>
              <w:ind w:left="20"/>
              <w:jc w:val="both"/>
            </w:pPr>
            <w:r>
              <w:rPr>
                <w:rFonts w:ascii="Times New Roman"/>
                <w:b w:val="false"/>
                <w:i w:val="false"/>
                <w:color w:val="000000"/>
                <w:sz w:val="20"/>
              </w:rPr>
              <w:t>
9) приобретения услуг, связанных с направлением работника в служебную командировку, включая проезд к месту проведения указанных мероприятий и обратно, наем жилого помещения, транспортное обслуживание, обеспечение питания;</w:t>
            </w:r>
          </w:p>
          <w:p>
            <w:pPr>
              <w:spacing w:after="20"/>
              <w:ind w:left="20"/>
              <w:jc w:val="both"/>
            </w:pPr>
            <w:r>
              <w:rPr>
                <w:rFonts w:ascii="Times New Roman"/>
                <w:b w:val="false"/>
                <w:i w:val="false"/>
                <w:color w:val="000000"/>
                <w:sz w:val="20"/>
              </w:rPr>
              <w:t>
10) когда у субъекта естественной монополии, закупившего товары, работы, услуги поставщика, возникает потребность в приобретении товаров, работ, услуг у того же поставщика в целях унификации, стандартизации или обеспечения совместимости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ежегодно не позднее 1 мая года, следующего за отчетным периодом, отчетов об исполнении утвержденной тарифной сметы, об исполнении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отчетов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 не позднее пяти календарных дней со дня проведения отчета в средствах массовой информации, в том числе на своем интернет-ресурсе либо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о тарифе, об условиях предоставления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не позднее 1 августа текущего календарного года и 1 мая следующего календарного года проводить отчеты по итогам полугодия и года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о тарифе, его изменении не позднее, чем за тридцать календарных дней до введения его в действие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субъектом естественной монополии: созданного впервые; оказывающего новую регулируемую услугу (новые регулируемые услуги); в случае приобретения (строительства) новых объектов и (или) участков, если действующий тариф утвержден раздельно по объектам и (или) участкам; в случае приобретения (строительства) новых участков подъездных путей, не являющихся неразрывной частью подъездных путей, на услуги которых субъекту утвержден тариф; субъекта естественной монополии малой мощности заявки на утверждение тарифа с применением затратного метода тарифного регулирования по истечении срока действия тарифа, утвержденного в упрощенном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переданного (направленного) уведомления об осуществлении субъектом естественной монополии деятельности, не относящейся к регулируемым услугам в уполномоченный орган в срок не позднее десяти рабочих дней со дня осуществления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включение в тариф затрат, не связанных с предоставлением регулируемой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Произведение перерасчета стоимости регулируемой услуги по снабжению тепловой энергией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снабжению тепловой энергией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методики ведения раздельного учета доходов, затрат и задействованных активов по каждому виду регулируемых услуг субъектов естественных монополий в соответствии с порядком ведения раздельного учета доходов, затрат и задействованных активов по каждому виду регулируемых услуг и в целом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утвержденной тарифной сметы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мероприятий утвержденной инвестиционной программы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Согласование с уполномоченным органом договора доверительного управления по передаче магистральных каналов с отводящими межхозяйственными и внутрихозяйственными каналами для расширения, модернизации, реконструкции и улучшения технического состояния, находящихся в собственности у субъекта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уполномоченного органа за месяц до проведения отчета перед потребителями и иными заинтересованными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направленной информации в уполномоченный орган субъектом естественной монополии малой мощности до реорганизации или ликвидации не менее чем за десять календарных дней о своем намерении совершить указанные действия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по требованию потребителей информации, содержащейся в утвержденных тарифной смете и инвестиционной программе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ежегодно, в срок до 31 декабря для сведения ведомству уполномоченного органа или его территориальному органу перечня закупаемых субъектом естественной монополии товаров, работ и услуг, затраты на которые учитываются при утверждении тарифа с применением затратного метода тарифного регулирования на следующий календарный год, утвержденного приказом первого руководителя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передачи информации, сведений о закупках, осуществляемых в информационных системах электронных закупок, в информационную систему Национальной палаты предпринимателей Республики Казахстан в целях формирования единой точки доступа к информации по закупкам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учитывание в затратной части тарифа следующих расходов:</w:t>
            </w:r>
          </w:p>
          <w:p>
            <w:pPr>
              <w:spacing w:after="20"/>
              <w:ind w:left="20"/>
              <w:jc w:val="both"/>
            </w:pPr>
            <w:r>
              <w:rPr>
                <w:rFonts w:ascii="Times New Roman"/>
                <w:b w:val="false"/>
                <w:i w:val="false"/>
                <w:color w:val="000000"/>
                <w:sz w:val="20"/>
              </w:rPr>
              <w:t>
1) на сверхнормативные технические и коммерческие потери, порчу и недостачи товарно-материальных ценностей и запасы на складах, другие непроизводительные расходы и потери;</w:t>
            </w:r>
          </w:p>
          <w:p>
            <w:pPr>
              <w:spacing w:after="20"/>
              <w:ind w:left="20"/>
              <w:jc w:val="both"/>
            </w:pPr>
            <w:r>
              <w:rPr>
                <w:rFonts w:ascii="Times New Roman"/>
                <w:b w:val="false"/>
                <w:i w:val="false"/>
                <w:color w:val="000000"/>
                <w:sz w:val="20"/>
              </w:rPr>
              <w:t>
2) амортизационные отчисления основных средств, не используемых при предоставлении регулируемых услуг, либо не находящихся на балансе субъекта;</w:t>
            </w:r>
          </w:p>
          <w:p>
            <w:pPr>
              <w:spacing w:after="20"/>
              <w:ind w:left="20"/>
              <w:jc w:val="both"/>
            </w:pPr>
            <w:r>
              <w:rPr>
                <w:rFonts w:ascii="Times New Roman"/>
                <w:b w:val="false"/>
                <w:i w:val="false"/>
                <w:color w:val="000000"/>
                <w:sz w:val="20"/>
              </w:rPr>
              <w:t>
3) на плату за пользование основными средствами (кроме основных средств общехозяйственного назначения), полученными в аренду, доверительное управление или в имущественный наем, выплаты по операционному лизингу, за исключением платы за пользование магистральным газопроводом по маршруту Караозек (Кызылординская область) – Жезказган – Караганда – Темиртау – Астана, полученным в аренду, доверительное управление или в имущественный наем, включающую в себя налоговые обязательства по имуществу и выплаты за привлекаемые инвестиции, связанные со строительством магистрального газопровода по указанному маршруту;</w:t>
            </w:r>
          </w:p>
          <w:p>
            <w:pPr>
              <w:spacing w:after="20"/>
              <w:ind w:left="20"/>
              <w:jc w:val="both"/>
            </w:pPr>
            <w:r>
              <w:rPr>
                <w:rFonts w:ascii="Times New Roman"/>
                <w:b w:val="false"/>
                <w:i w:val="false"/>
                <w:color w:val="000000"/>
                <w:sz w:val="20"/>
              </w:rPr>
              <w:t>
4)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а также содержание и ремонт магистрального газопровода по маршруту Караозек (Кызылординская область) – Жезказган – Караганда Темиртау – Астана. При этом, затраты на содержание и ремонт газораспределительных сетей, полученных по договору доверительного управления от местных исполнительных органов, включаются в тариф поэтапно на каждый год периода его действия. Этапы включения затрат на содержание и ремонт определяются ведомством уполномоченного органа. Затраты на содержание (эксплуатацию) и ремонт сетей передачи электрической энергии, полученных в доверительное управление от местных исполнительных органов не могут превышать уровень инфляции предусмотренный Прогнозом социально-экономического развития Республики Казахстан от суммы затрат тарифной сметы;</w:t>
            </w:r>
          </w:p>
          <w:p>
            <w:pPr>
              <w:spacing w:after="20"/>
              <w:ind w:left="20"/>
              <w:jc w:val="both"/>
            </w:pPr>
            <w:r>
              <w:rPr>
                <w:rFonts w:ascii="Times New Roman"/>
                <w:b w:val="false"/>
                <w:i w:val="false"/>
                <w:color w:val="000000"/>
                <w:sz w:val="20"/>
              </w:rPr>
              <w:t>
5) платежи за сверхнормативные выбросы (сбросы) загрязняющих веществ;</w:t>
            </w:r>
          </w:p>
          <w:p>
            <w:pPr>
              <w:spacing w:after="20"/>
              <w:ind w:left="20"/>
              <w:jc w:val="both"/>
            </w:pPr>
            <w:r>
              <w:rPr>
                <w:rFonts w:ascii="Times New Roman"/>
                <w:b w:val="false"/>
                <w:i w:val="false"/>
                <w:color w:val="000000"/>
                <w:sz w:val="20"/>
              </w:rPr>
              <w:t>
6) судебные издержки;</w:t>
            </w:r>
          </w:p>
          <w:p>
            <w:pPr>
              <w:spacing w:after="20"/>
              <w:ind w:left="20"/>
              <w:jc w:val="both"/>
            </w:pPr>
            <w:r>
              <w:rPr>
                <w:rFonts w:ascii="Times New Roman"/>
                <w:b w:val="false"/>
                <w:i w:val="false"/>
                <w:color w:val="000000"/>
                <w:sz w:val="20"/>
              </w:rPr>
              <w:t>
7) безнадежная задолженность;</w:t>
            </w:r>
          </w:p>
          <w:p>
            <w:pPr>
              <w:spacing w:after="20"/>
              <w:ind w:left="20"/>
              <w:jc w:val="both"/>
            </w:pPr>
            <w:r>
              <w:rPr>
                <w:rFonts w:ascii="Times New Roman"/>
                <w:b w:val="false"/>
                <w:i w:val="false"/>
                <w:color w:val="000000"/>
                <w:sz w:val="20"/>
              </w:rPr>
              <w:t>
8) штрафы, пени, неустойки и другие виды санкций за нарушение условий хозяйственных договоров;</w:t>
            </w:r>
          </w:p>
          <w:p>
            <w:pPr>
              <w:spacing w:after="20"/>
              <w:ind w:left="20"/>
              <w:jc w:val="both"/>
            </w:pPr>
            <w:r>
              <w:rPr>
                <w:rFonts w:ascii="Times New Roman"/>
                <w:b w:val="false"/>
                <w:i w:val="false"/>
                <w:color w:val="000000"/>
                <w:sz w:val="20"/>
              </w:rPr>
              <w:t>
9) штрафы и пени за сокрытие (занижение) дохода;</w:t>
            </w:r>
          </w:p>
          <w:p>
            <w:pPr>
              <w:spacing w:after="20"/>
              <w:ind w:left="20"/>
              <w:jc w:val="both"/>
            </w:pPr>
            <w:r>
              <w:rPr>
                <w:rFonts w:ascii="Times New Roman"/>
                <w:b w:val="false"/>
                <w:i w:val="false"/>
                <w:color w:val="000000"/>
                <w:sz w:val="20"/>
              </w:rPr>
              <w:t>
10) убытки от хищений;</w:t>
            </w:r>
          </w:p>
          <w:p>
            <w:pPr>
              <w:spacing w:after="20"/>
              <w:ind w:left="20"/>
              <w:jc w:val="both"/>
            </w:pPr>
            <w:r>
              <w:rPr>
                <w:rFonts w:ascii="Times New Roman"/>
                <w:b w:val="false"/>
                <w:i w:val="false"/>
                <w:color w:val="000000"/>
                <w:sz w:val="20"/>
              </w:rPr>
              <w:t>
11) потери от брака используемых для предоставления регулируемой услуги основных средств, материалов;</w:t>
            </w:r>
          </w:p>
          <w:p>
            <w:pPr>
              <w:spacing w:after="20"/>
              <w:ind w:left="20"/>
              <w:jc w:val="both"/>
            </w:pPr>
            <w:r>
              <w:rPr>
                <w:rFonts w:ascii="Times New Roman"/>
                <w:b w:val="false"/>
                <w:i w:val="false"/>
                <w:color w:val="000000"/>
                <w:sz w:val="20"/>
              </w:rPr>
              <w:t>
12) по содержанию обслуживающих производств и хозяйств (бесплатное предоставление помещений, оплата стоимости коммунальных услуг организациям общественного питания);</w:t>
            </w:r>
          </w:p>
          <w:p>
            <w:pPr>
              <w:spacing w:after="20"/>
              <w:ind w:left="20"/>
              <w:jc w:val="both"/>
            </w:pPr>
            <w:r>
              <w:rPr>
                <w:rFonts w:ascii="Times New Roman"/>
                <w:b w:val="false"/>
                <w:i w:val="false"/>
                <w:color w:val="000000"/>
                <w:sz w:val="20"/>
              </w:rPr>
              <w:t>
13) на содержание объектов здравоохранения, детских дошкольных учреждений, учебных заведений, профессионально технических училищ, кроме технологически необходимых, согласованных с компетентным органом;</w:t>
            </w:r>
          </w:p>
          <w:p>
            <w:pPr>
              <w:spacing w:after="20"/>
              <w:ind w:left="20"/>
              <w:jc w:val="both"/>
            </w:pPr>
            <w:r>
              <w:rPr>
                <w:rFonts w:ascii="Times New Roman"/>
                <w:b w:val="false"/>
                <w:i w:val="false"/>
                <w:color w:val="000000"/>
                <w:sz w:val="20"/>
              </w:rPr>
              <w:t>
14) на содержание оздоровительных лагерей, объектов культуры и спорта, жилого фонда;</w:t>
            </w:r>
          </w:p>
          <w:p>
            <w:pPr>
              <w:spacing w:after="20"/>
              <w:ind w:left="20"/>
              <w:jc w:val="both"/>
            </w:pPr>
            <w:r>
              <w:rPr>
                <w:rFonts w:ascii="Times New Roman"/>
                <w:b w:val="false"/>
                <w:i w:val="false"/>
                <w:color w:val="000000"/>
                <w:sz w:val="20"/>
              </w:rPr>
              <w:t>
15) на проведение культурно-просветительных, оздоровительных и спортивных мероприятий (проведение вечеров отдыха, спектаклей, концертов);</w:t>
            </w:r>
          </w:p>
          <w:p>
            <w:pPr>
              <w:spacing w:after="20"/>
              <w:ind w:left="20"/>
              <w:jc w:val="both"/>
            </w:pPr>
            <w:r>
              <w:rPr>
                <w:rFonts w:ascii="Times New Roman"/>
                <w:b w:val="false"/>
                <w:i w:val="false"/>
                <w:color w:val="000000"/>
                <w:sz w:val="20"/>
              </w:rPr>
              <w:t>
16) на погашение ссуд (включая беспроцентные), выданных работникам предприятий на улучшение жилищных условий, приобретение садовых домиков и обзаведение домашним хозяйством;</w:t>
            </w:r>
          </w:p>
          <w:p>
            <w:pPr>
              <w:spacing w:after="20"/>
              <w:ind w:left="20"/>
              <w:jc w:val="both"/>
            </w:pPr>
            <w:r>
              <w:rPr>
                <w:rFonts w:ascii="Times New Roman"/>
                <w:b w:val="false"/>
                <w:i w:val="false"/>
                <w:color w:val="000000"/>
                <w:sz w:val="20"/>
              </w:rPr>
              <w:t>
17) по благоустройству садовых товариществ (в том числе, строительство дорог, энерго- и водоснабжение, осуществление других расходов общего характера);</w:t>
            </w:r>
          </w:p>
          <w:p>
            <w:pPr>
              <w:spacing w:after="20"/>
              <w:ind w:left="20"/>
              <w:jc w:val="both"/>
            </w:pPr>
            <w:r>
              <w:rPr>
                <w:rFonts w:ascii="Times New Roman"/>
                <w:b w:val="false"/>
                <w:i w:val="false"/>
                <w:color w:val="000000"/>
                <w:sz w:val="20"/>
              </w:rPr>
              <w:t>
18) на проведение и организацию лекций, выставок, диспутов, встреч с деятелями науки и искусства, научно технических конференций, членские взносы в общественные организации и ассоциации;</w:t>
            </w:r>
          </w:p>
          <w:p>
            <w:pPr>
              <w:spacing w:after="20"/>
              <w:ind w:left="20"/>
              <w:jc w:val="both"/>
            </w:pPr>
            <w:r>
              <w:rPr>
                <w:rFonts w:ascii="Times New Roman"/>
                <w:b w:val="false"/>
                <w:i w:val="false"/>
                <w:color w:val="000000"/>
                <w:sz w:val="20"/>
              </w:rPr>
              <w:t>
19) по рекламе в средствах массовой информации, по изданию рекламной, плакатной и типографской продукции, за исключением продукции, используемой в производственных целях;</w:t>
            </w:r>
          </w:p>
          <w:p>
            <w:pPr>
              <w:spacing w:after="20"/>
              <w:ind w:left="20"/>
              <w:jc w:val="both"/>
            </w:pPr>
            <w:r>
              <w:rPr>
                <w:rFonts w:ascii="Times New Roman"/>
                <w:b w:val="false"/>
                <w:i w:val="false"/>
                <w:color w:val="000000"/>
                <w:sz w:val="20"/>
              </w:rPr>
              <w:t>
20) на приобретение, аренду и содержание квартир, жилых зданий и сооружений, мест в общежитиях и гостиницах для персонала субъекта (за исключением расходов на содержание служебных жилых помещений на железнодорожных разъездах для производственного персонала, технологически необходимых для предоставления регулируемых услуг, которые включаются в производственные расходы);</w:t>
            </w:r>
          </w:p>
          <w:p>
            <w:pPr>
              <w:spacing w:after="20"/>
              <w:ind w:left="20"/>
              <w:jc w:val="both"/>
            </w:pPr>
            <w:r>
              <w:rPr>
                <w:rFonts w:ascii="Times New Roman"/>
                <w:b w:val="false"/>
                <w:i w:val="false"/>
                <w:color w:val="000000"/>
                <w:sz w:val="20"/>
              </w:rPr>
              <w:t>
21) на выполнение работ по благоустройству города, предоставлению помощи сельскому хозяйству и другие подобного рода работы;</w:t>
            </w:r>
          </w:p>
          <w:p>
            <w:pPr>
              <w:spacing w:after="20"/>
              <w:ind w:left="20"/>
              <w:jc w:val="both"/>
            </w:pPr>
            <w:r>
              <w:rPr>
                <w:rFonts w:ascii="Times New Roman"/>
                <w:b w:val="false"/>
                <w:i w:val="false"/>
                <w:color w:val="000000"/>
                <w:sz w:val="20"/>
              </w:rPr>
              <w:t>
22) на оплату отпусков работникам, обучающихся в организации образования;</w:t>
            </w:r>
          </w:p>
          <w:p>
            <w:pPr>
              <w:spacing w:after="20"/>
              <w:ind w:left="20"/>
              <w:jc w:val="both"/>
            </w:pPr>
            <w:r>
              <w:rPr>
                <w:rFonts w:ascii="Times New Roman"/>
                <w:b w:val="false"/>
                <w:i w:val="false"/>
                <w:color w:val="000000"/>
                <w:sz w:val="20"/>
              </w:rPr>
              <w:t>
23) на премирование и другие формы вознаграждения по итогам работы;</w:t>
            </w:r>
          </w:p>
          <w:p>
            <w:pPr>
              <w:spacing w:after="20"/>
              <w:ind w:left="20"/>
              <w:jc w:val="both"/>
            </w:pPr>
            <w:r>
              <w:rPr>
                <w:rFonts w:ascii="Times New Roman"/>
                <w:b w:val="false"/>
                <w:i w:val="false"/>
                <w:color w:val="000000"/>
                <w:sz w:val="20"/>
              </w:rPr>
              <w:t>
24) по оплате путевок работникам и их детям на лечение, отдых, экскурсии за счет средств субъекта, кроме затрат, связанных с реабилитационным лечением профзаболеваний;</w:t>
            </w:r>
          </w:p>
          <w:p>
            <w:pPr>
              <w:spacing w:after="20"/>
              <w:ind w:left="20"/>
              <w:jc w:val="both"/>
            </w:pPr>
            <w:r>
              <w:rPr>
                <w:rFonts w:ascii="Times New Roman"/>
                <w:b w:val="false"/>
                <w:i w:val="false"/>
                <w:color w:val="000000"/>
                <w:sz w:val="20"/>
              </w:rPr>
              <w:t>
25) по оплате услуг поликлиник по договорам, заключенным с органами здравоохранения на предоставление своим работникам медицинской помощи;</w:t>
            </w:r>
          </w:p>
          <w:p>
            <w:pPr>
              <w:spacing w:after="20"/>
              <w:ind w:left="20"/>
              <w:jc w:val="both"/>
            </w:pPr>
            <w:r>
              <w:rPr>
                <w:rFonts w:ascii="Times New Roman"/>
                <w:b w:val="false"/>
                <w:i w:val="false"/>
                <w:color w:val="000000"/>
                <w:sz w:val="20"/>
              </w:rPr>
              <w:t>
26) страховые платежи (взносы, уплачиваемые предприятиями по договорам личного и имущественного страхования, заключенных предприятиями в пользу своих работников);</w:t>
            </w:r>
          </w:p>
          <w:p>
            <w:pPr>
              <w:spacing w:after="20"/>
              <w:ind w:left="20"/>
              <w:jc w:val="both"/>
            </w:pPr>
            <w:r>
              <w:rPr>
                <w:rFonts w:ascii="Times New Roman"/>
                <w:b w:val="false"/>
                <w:i w:val="false"/>
                <w:color w:val="000000"/>
                <w:sz w:val="20"/>
              </w:rPr>
              <w:t>
27) по оплате дополнительно предоставленных (сверх предусмотренного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а также компенсация за неиспользованный отпуск;</w:t>
            </w:r>
          </w:p>
          <w:p>
            <w:pPr>
              <w:spacing w:after="20"/>
              <w:ind w:left="20"/>
              <w:jc w:val="both"/>
            </w:pPr>
            <w:r>
              <w:rPr>
                <w:rFonts w:ascii="Times New Roman"/>
                <w:b w:val="false"/>
                <w:i w:val="false"/>
                <w:color w:val="000000"/>
                <w:sz w:val="20"/>
              </w:rPr>
              <w:t>
28) на предоставление всех видов спонсорской помощи;</w:t>
            </w:r>
          </w:p>
          <w:p>
            <w:pPr>
              <w:spacing w:after="20"/>
              <w:ind w:left="20"/>
              <w:jc w:val="both"/>
            </w:pPr>
            <w:r>
              <w:rPr>
                <w:rFonts w:ascii="Times New Roman"/>
                <w:b w:val="false"/>
                <w:i w:val="false"/>
                <w:color w:val="000000"/>
                <w:sz w:val="20"/>
              </w:rPr>
              <w:t>
29) льготы работникам субъекта (предоставление питания работникам бесплатно или по сниженным ценам, оплата абонементов в группы здоровья, занятий в секциях, клубах, протезирование);</w:t>
            </w:r>
          </w:p>
          <w:p>
            <w:pPr>
              <w:spacing w:after="20"/>
              <w:ind w:left="20"/>
              <w:jc w:val="both"/>
            </w:pPr>
            <w:r>
              <w:rPr>
                <w:rFonts w:ascii="Times New Roman"/>
                <w:b w:val="false"/>
                <w:i w:val="false"/>
                <w:color w:val="000000"/>
                <w:sz w:val="20"/>
              </w:rPr>
              <w:t>
30) на приобретение подарков на юбилейные даты или выдаваемые в виде поощрения работникам (включая автомашины, квартиры, предметы длительного пользования, а также увеличение процентных ставок лицевых счетов работников);</w:t>
            </w:r>
          </w:p>
          <w:p>
            <w:pPr>
              <w:spacing w:after="20"/>
              <w:ind w:left="20"/>
              <w:jc w:val="both"/>
            </w:pPr>
            <w:r>
              <w:rPr>
                <w:rFonts w:ascii="Times New Roman"/>
                <w:b w:val="false"/>
                <w:i w:val="false"/>
                <w:color w:val="000000"/>
                <w:sz w:val="20"/>
              </w:rPr>
              <w:t>
31) на компенсацию стоимости питания детям, находящимся в дошкольных учреждениях, санаториях и оздоровительных лагерях;</w:t>
            </w:r>
          </w:p>
          <w:p>
            <w:pPr>
              <w:spacing w:after="20"/>
              <w:ind w:left="20"/>
              <w:jc w:val="both"/>
            </w:pPr>
            <w:r>
              <w:rPr>
                <w:rFonts w:ascii="Times New Roman"/>
                <w:b w:val="false"/>
                <w:i w:val="false"/>
                <w:color w:val="000000"/>
                <w:sz w:val="20"/>
              </w:rPr>
              <w:t>
32) на услуги банков и организации, осуществляющих отдельные виды банковских операций по приему коммунальных платежей от потребителей;</w:t>
            </w:r>
          </w:p>
          <w:p>
            <w:pPr>
              <w:spacing w:after="20"/>
              <w:ind w:left="20"/>
              <w:jc w:val="both"/>
            </w:pPr>
            <w:r>
              <w:rPr>
                <w:rFonts w:ascii="Times New Roman"/>
                <w:b w:val="false"/>
                <w:i w:val="false"/>
                <w:color w:val="000000"/>
                <w:sz w:val="20"/>
              </w:rPr>
              <w:t>
33) отчисления профсоюзам на цели, определенные коллективным договором;</w:t>
            </w:r>
          </w:p>
          <w:p>
            <w:pPr>
              <w:spacing w:after="20"/>
              <w:ind w:left="20"/>
              <w:jc w:val="both"/>
            </w:pPr>
            <w:r>
              <w:rPr>
                <w:rFonts w:ascii="Times New Roman"/>
                <w:b w:val="false"/>
                <w:i w:val="false"/>
                <w:color w:val="000000"/>
                <w:sz w:val="20"/>
              </w:rPr>
              <w:t>
34) связанные с проведением опытно-экспериментальных работ, изготовлением и испытанием моделей и образцов по изобретениям и рационализаторским предложениям (за исключением работ, применяющихся в представлении регулируемых услуг, организацией выставок, смотров, конкурсов и других мероприятий по изобретательству и рационализации, выплаты авторских вознаграждений и другие;</w:t>
            </w:r>
          </w:p>
          <w:p>
            <w:pPr>
              <w:spacing w:after="20"/>
              <w:ind w:left="20"/>
              <w:jc w:val="both"/>
            </w:pPr>
            <w:r>
              <w:rPr>
                <w:rFonts w:ascii="Times New Roman"/>
                <w:b w:val="false"/>
                <w:i w:val="false"/>
                <w:color w:val="000000"/>
                <w:sz w:val="20"/>
              </w:rPr>
              <w:t>
35) расходы, не относящиеся к производству и предоставлению регулируемых услуг и приводящие к росту тарифов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закупок стратегических товаров субъектом естественной монополии непосредственно у производителей стратегических товаров, за исключением случаев:</w:t>
            </w:r>
          </w:p>
          <w:p>
            <w:pPr>
              <w:spacing w:after="20"/>
              <w:ind w:left="20"/>
              <w:jc w:val="both"/>
            </w:pPr>
            <w:r>
              <w:rPr>
                <w:rFonts w:ascii="Times New Roman"/>
                <w:b w:val="false"/>
                <w:i w:val="false"/>
                <w:color w:val="000000"/>
                <w:sz w:val="20"/>
              </w:rPr>
              <w:t>
1) наличия дефицита электрической энергии на соответствующем товарном рынке, подтвержденного государственным органом, осуществляющим руководство в области электроэнергетики;</w:t>
            </w:r>
          </w:p>
          <w:p>
            <w:pPr>
              <w:spacing w:after="20"/>
              <w:ind w:left="20"/>
              <w:jc w:val="both"/>
            </w:pPr>
            <w:r>
              <w:rPr>
                <w:rFonts w:ascii="Times New Roman"/>
                <w:b w:val="false"/>
                <w:i w:val="false"/>
                <w:color w:val="000000"/>
                <w:sz w:val="20"/>
              </w:rPr>
              <w:t>
2) несоответствия субъекта естественной монополии условиям для участия в оптовом рынке электрической энергии, предъявляемым к потребителям;</w:t>
            </w:r>
          </w:p>
          <w:p>
            <w:pPr>
              <w:spacing w:after="20"/>
              <w:ind w:left="20"/>
              <w:jc w:val="both"/>
            </w:pPr>
            <w:r>
              <w:rPr>
                <w:rFonts w:ascii="Times New Roman"/>
                <w:b w:val="false"/>
                <w:i w:val="false"/>
                <w:color w:val="000000"/>
                <w:sz w:val="20"/>
              </w:rPr>
              <w:t>
3) закупки электрической энергии на хозяйственные нужды субъекта естественной монополии в сфере передачи электрической энергии, электрической энергии с целью компенсации отклонений фактического межгосударственного сальдо-перетока электрической энергии от планового на границе с энергосистемами сопредельных государств, дисбалансов электрической энергии, закупаемой на компенсацию технологического расхода электрической энергии в сетях субъекта естественной монополии в сфере передачи электрической энергии;</w:t>
            </w:r>
          </w:p>
          <w:p>
            <w:pPr>
              <w:spacing w:after="20"/>
              <w:ind w:left="20"/>
              <w:jc w:val="both"/>
            </w:pPr>
            <w:r>
              <w:rPr>
                <w:rFonts w:ascii="Times New Roman"/>
                <w:b w:val="false"/>
                <w:i w:val="false"/>
                <w:color w:val="000000"/>
                <w:sz w:val="20"/>
              </w:rPr>
              <w:t>
4) закупки газа у газораспределительных организаций;</w:t>
            </w:r>
          </w:p>
          <w:p>
            <w:pPr>
              <w:spacing w:after="20"/>
              <w:ind w:left="20"/>
              <w:jc w:val="both"/>
            </w:pPr>
            <w:r>
              <w:rPr>
                <w:rFonts w:ascii="Times New Roman"/>
                <w:b w:val="false"/>
                <w:i w:val="false"/>
                <w:color w:val="000000"/>
                <w:sz w:val="20"/>
              </w:rPr>
              <w:t>
5) закупки электрической энергии;</w:t>
            </w:r>
          </w:p>
          <w:p>
            <w:pPr>
              <w:spacing w:after="20"/>
              <w:ind w:left="20"/>
              <w:jc w:val="both"/>
            </w:pPr>
            <w:r>
              <w:rPr>
                <w:rFonts w:ascii="Times New Roman"/>
                <w:b w:val="false"/>
                <w:i w:val="false"/>
                <w:color w:val="000000"/>
                <w:sz w:val="20"/>
              </w:rPr>
              <w:t>
6) закупки балансирующей электроэнергии, электрической энергии на централизованных торгах, спот-рынке;</w:t>
            </w:r>
          </w:p>
          <w:p>
            <w:pPr>
              <w:spacing w:after="20"/>
              <w:ind w:left="20"/>
              <w:jc w:val="both"/>
            </w:pPr>
            <w:r>
              <w:rPr>
                <w:rFonts w:ascii="Times New Roman"/>
                <w:b w:val="false"/>
                <w:i w:val="false"/>
                <w:color w:val="000000"/>
                <w:sz w:val="20"/>
              </w:rPr>
              <w:t>
7) закупки электрической энергии на хозяйственные нужды субъекта естественной монополии в сфере передачи электрической энергии на централизованных торгах по ценам не выше предельного уровня тарифа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при утверждении тарифа с применением стимулирующего метода тарифного регулирования ежегодно в срок не позднее 1 мая отчетного периода представлять в уполномоченный орган, иной государственный орган либо местный исполнительный орган отчеты о фактически достигнутых за отчетный год доходах, расходах, соблюдении показателей качества и надежности регулируемых услуг, достижении показателей эффективности деятельности субъектов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не позднее 1 августа текущего календарного года и 1 мая следующего календарного года в средствах массовой информации, распространяемых на территории соответствующей административно-территориальной единицы, отчетов перед потребителями и иными заинтересованными лицами об исполнении утвержденной тарифной сметы, об исполнении утвержденной инвестиционной программы,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с обоснованиями, в том числе финансовую отчетность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Ежегодное размещение отчета по предоставлению коммунальных услуг в сферах естественных монополий перед потребителями и иными заинтересованными лицами не позднее пяти календарных дней со дня проведения отчета в периодическом печатном издании, на своем интернет-ресурсе либо интернет-ресурсе уполномоченного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после опубликования в периодическом печатном издании объявления о дате и месте проведения публичных слушаний представить по требованию участников публичных слушаний:</w:t>
            </w:r>
          </w:p>
          <w:p>
            <w:pPr>
              <w:spacing w:after="20"/>
              <w:ind w:left="20"/>
              <w:jc w:val="both"/>
            </w:pPr>
            <w:r>
              <w:rPr>
                <w:rFonts w:ascii="Times New Roman"/>
                <w:b w:val="false"/>
                <w:i w:val="false"/>
                <w:color w:val="000000"/>
                <w:sz w:val="20"/>
              </w:rPr>
              <w:t>
1) проекты тарифа и тарифной сметы;</w:t>
            </w:r>
          </w:p>
          <w:p>
            <w:pPr>
              <w:spacing w:after="20"/>
              <w:ind w:left="20"/>
              <w:jc w:val="both"/>
            </w:pPr>
            <w:r>
              <w:rPr>
                <w:rFonts w:ascii="Times New Roman"/>
                <w:b w:val="false"/>
                <w:i w:val="false"/>
                <w:color w:val="000000"/>
                <w:sz w:val="20"/>
              </w:rPr>
              <w:t>
2) информацию о причинах изменения тарифа с экономически обоснованными расчетами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объявления о предстоящем проведении отчета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одного раза в неделю и распространяемом на территории соответствующей административно-территориальной единицы, а субъектом естественной монополии, включенным в республиканский раздел Государственного регистра субъектов естественных монополий, – в периодическом печатном издании, выпускаемом не реже одного раза в неделю и распространяемом на всей территории Республики Казахстан, не позднее, чем за пятнадцать рабочих дней до его проведения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ежеквартально на своем интернет-ресурсе либо в случае его отсутствия представление уполномоченному органу для размещения на его интернет-ресурсе:</w:t>
            </w:r>
          </w:p>
          <w:p>
            <w:pPr>
              <w:spacing w:after="20"/>
              <w:ind w:left="20"/>
              <w:jc w:val="both"/>
            </w:pPr>
            <w:r>
              <w:rPr>
                <w:rFonts w:ascii="Times New Roman"/>
                <w:b w:val="false"/>
                <w:i w:val="false"/>
                <w:color w:val="000000"/>
                <w:sz w:val="20"/>
              </w:rPr>
              <w:t>
1) информацию о резерве, наличии свободных и доступных мощностей, емкостей, мест, пропускных способностей сетей субъекта естественной монополии;</w:t>
            </w:r>
          </w:p>
          <w:p>
            <w:pPr>
              <w:spacing w:after="20"/>
              <w:ind w:left="20"/>
              <w:jc w:val="both"/>
            </w:pPr>
            <w:r>
              <w:rPr>
                <w:rFonts w:ascii="Times New Roman"/>
                <w:b w:val="false"/>
                <w:i w:val="false"/>
                <w:color w:val="000000"/>
                <w:sz w:val="20"/>
              </w:rPr>
              <w:t>
2) схемы размещения сетей или иного имущества, используемого при предоставлении регулируемых услуг, за исключением сведений, относящихся к государственным секретам и иной охраняемой законом тайне и регулируемых услуг;</w:t>
            </w:r>
          </w:p>
          <w:p>
            <w:pPr>
              <w:spacing w:after="20"/>
              <w:ind w:left="20"/>
              <w:jc w:val="both"/>
            </w:pPr>
            <w:r>
              <w:rPr>
                <w:rFonts w:ascii="Times New Roman"/>
                <w:b w:val="false"/>
                <w:i w:val="false"/>
                <w:color w:val="000000"/>
                <w:sz w:val="20"/>
              </w:rPr>
              <w:t>
3) информацию о ходе исполнения утвержденной инвестиционной программы (места расположения объектов, стадии исполнения с приложением фото, видеосъемки, сроки исполнения и стоимость мероприятий инвестиционных программ), за исключением сведений, относящихся к государственным секретам и иной охраняемой законом тайне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4" w:id="89"/>
      <w:r>
        <w:rPr>
          <w:rFonts w:ascii="Times New Roman"/>
          <w:b w:val="false"/>
          <w:i w:val="false"/>
          <w:color w:val="000000"/>
          <w:sz w:val="28"/>
        </w:rPr>
        <w:t>
      Должностное (ые) лицо (а) ________________________________________</w:t>
      </w:r>
    </w:p>
    <w:bookmarkEnd w:id="89"/>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2022 года № 122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2016 года № 332</w:t>
            </w:r>
          </w:p>
        </w:tc>
      </w:tr>
    </w:tbl>
    <w:bookmarkStart w:name="z348" w:id="90"/>
    <w:p>
      <w:pPr>
        <w:spacing w:after="0"/>
        <w:ind w:left="0"/>
        <w:jc w:val="left"/>
      </w:pPr>
      <w:r>
        <w:rPr>
          <w:rFonts w:ascii="Times New Roman"/>
          <w:b/>
          <w:i w:val="false"/>
          <w:color w:val="000000"/>
        </w:rPr>
        <w:t xml:space="preserve"> Проверочный лист за соблюдением порядка ценообразования и обязанностей субъекта общественно значимого рынка в соответствии со </w:t>
      </w:r>
      <w:r>
        <w:rPr>
          <w:rFonts w:ascii="Times New Roman"/>
          <w:b/>
          <w:i w:val="false"/>
          <w:color w:val="000000"/>
        </w:rPr>
        <w:t>статьей 138</w:t>
      </w:r>
      <w:r>
        <w:rPr>
          <w:rFonts w:ascii="Times New Roman"/>
          <w:b/>
          <w:i w:val="false"/>
          <w:color w:val="000000"/>
        </w:rPr>
        <w:t xml:space="preserve"> Предпринимательского кодекса Республики Казахстан</w:t>
      </w:r>
    </w:p>
    <w:bookmarkEnd w:id="90"/>
    <w:p>
      <w:pPr>
        <w:spacing w:after="0"/>
        <w:ind w:left="0"/>
        <w:jc w:val="both"/>
      </w:pPr>
      <w:bookmarkStart w:name="z349" w:id="91"/>
      <w:r>
        <w:rPr>
          <w:rFonts w:ascii="Times New Roman"/>
          <w:b w:val="false"/>
          <w:i w:val="false"/>
          <w:color w:val="000000"/>
          <w:sz w:val="28"/>
        </w:rPr>
        <w:t>
      В отношении субъектов общественно значимого рынка</w:t>
      </w:r>
    </w:p>
    <w:bookmarkEnd w:id="9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однородной группы субъектов (объектов)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проверку/профилактический контроль</w:t>
      </w:r>
    </w:p>
    <w:p>
      <w:pPr>
        <w:spacing w:after="0"/>
        <w:ind w:left="0"/>
        <w:jc w:val="both"/>
      </w:pPr>
      <w:r>
        <w:rPr>
          <w:rFonts w:ascii="Times New Roman"/>
          <w:b w:val="false"/>
          <w:i w:val="false"/>
          <w:color w:val="000000"/>
          <w:sz w:val="28"/>
        </w:rPr>
        <w:t>с посещением субъекта (объекта) контроля 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дата Наименование субъекта (объекта) контроля 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в результате необоснованного превышения предельной цены, напрямую потребителям не позднее тридцати календарных дней с момента установления такого факта уполномоченным органом, осуществляющим руководство в сферах естественных монополий, либо путем снижения уровня предельной цены на предстоящий период в случае невозможности установления полного перечня потребителей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предельной цены на товары (работы, услуги), согласованной уполномоченным органом, осуществляющим руководство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w:t>
            </w:r>
          </w:p>
          <w:p>
            <w:pPr>
              <w:spacing w:after="20"/>
              <w:ind w:left="20"/>
              <w:jc w:val="both"/>
            </w:pPr>
            <w:r>
              <w:rPr>
                <w:rFonts w:ascii="Times New Roman"/>
                <w:b w:val="false"/>
                <w:i w:val="false"/>
                <w:color w:val="000000"/>
                <w:sz w:val="20"/>
              </w:rPr>
              <w:t>
1) ежемесячную информацию об объемах производства (реализации), уровне доходности и отпускных ценах производимых (реализуемых) товаров (работ, услуг) по форме, утвержденной уполномоченным органом, осуществляющим руководство в сферах естественных монополий, не позднее последнего дня месяца, следующего за отчетным;</w:t>
            </w:r>
          </w:p>
          <w:p>
            <w:pPr>
              <w:spacing w:after="20"/>
              <w:ind w:left="20"/>
              <w:jc w:val="both"/>
            </w:pPr>
            <w:r>
              <w:rPr>
                <w:rFonts w:ascii="Times New Roman"/>
                <w:b w:val="false"/>
                <w:i w:val="false"/>
                <w:color w:val="000000"/>
                <w:sz w:val="20"/>
              </w:rPr>
              <w:t>
2) ежеквартальную финансовую отчетность не позднее последнего дня месяца, следующего за отчетным кварталом;</w:t>
            </w:r>
          </w:p>
          <w:p>
            <w:pPr>
              <w:spacing w:after="20"/>
              <w:ind w:left="20"/>
              <w:jc w:val="both"/>
            </w:pPr>
            <w:r>
              <w:rPr>
                <w:rFonts w:ascii="Times New Roman"/>
                <w:b w:val="false"/>
                <w:i w:val="false"/>
                <w:color w:val="000000"/>
                <w:sz w:val="20"/>
              </w:rPr>
              <w:t>
3) не позднее 1 августа текущего календарного года и 1 мая следующего календарного года информацию по итогам полугодия, года об исполнении либо о неисполнении инвестиционной программы, учтенной в предельной цене, по форме, утвержденной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4) информацию, необходимую для проведения экспертизы цены, в электронной форме в сроки, установленные уполномоченным органом, осуществляющим руководство в сферах естественных монополий, которые не могут быть менее пяти рабочих дней со дня получения субъектом общественно значимого рынка соответствующего требования;</w:t>
            </w:r>
          </w:p>
          <w:p>
            <w:pPr>
              <w:spacing w:after="20"/>
              <w:ind w:left="20"/>
              <w:jc w:val="both"/>
            </w:pPr>
            <w:r>
              <w:rPr>
                <w:rFonts w:ascii="Times New Roman"/>
                <w:b w:val="false"/>
                <w:i w:val="false"/>
                <w:color w:val="000000"/>
                <w:sz w:val="20"/>
              </w:rPr>
              <w:t>
5) информацию об отпускных ценах с приложением обосновывающих материалов, подтверждающих уровень цены, не позднее тридцати календарных дней со дня введения государственного регулирования цен или с момента начала производства (реализации) товаров, работ, услуг либо не менее чем за тридцать календарных дней до предстоящего повышения отпускной цены на товары, работы, услуги;</w:t>
            </w:r>
          </w:p>
          <w:p>
            <w:pPr>
              <w:spacing w:after="20"/>
              <w:ind w:left="20"/>
              <w:jc w:val="both"/>
            </w:pPr>
            <w:r>
              <w:rPr>
                <w:rFonts w:ascii="Times New Roman"/>
                <w:b w:val="false"/>
                <w:i w:val="false"/>
                <w:color w:val="000000"/>
                <w:sz w:val="20"/>
              </w:rPr>
              <w:t xml:space="preserve">
6) полугодовую информацию об использовании средств по покупке и (или) передаче электрической энергии, товарного газа, учтенных в предельной цене, с приложением подтверждающих материалов не позднее двадцать пятого числа месяца, следующего за отчетным полугодием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осуществляющий руководство в сферах естественных монополий, в электронной форме не менее чем за тридцать календарных дней информации о предстоящем повышении цен на товары (работы, услуги) выше предельной цены и причинах их повышения с представлением обосновывающих материалов, подтверждающих причины повышения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дохода, полученного и не использованного на реализацию инвестиционных программ (проектов), учтенных в предельных ценах,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в уполномоченный орган информации, указывающей на причины снижения или повышения, не позднее пяти рабочих дней со дня снижения или повышения цены, при самостоятельном снижении или повышении цены на товары (работы, услуги), реализуемые на общественно значимых рынках, не превышая предельной цены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 средствах массовой информации в порядке, определяемом уполномоченным органом, осуществляющим руководство в сферах естественных монополий:</w:t>
            </w:r>
          </w:p>
          <w:p>
            <w:pPr>
              <w:spacing w:after="20"/>
              <w:ind w:left="20"/>
              <w:jc w:val="both"/>
            </w:pPr>
            <w:r>
              <w:rPr>
                <w:rFonts w:ascii="Times New Roman"/>
                <w:b w:val="false"/>
                <w:i w:val="false"/>
                <w:color w:val="000000"/>
                <w:sz w:val="20"/>
              </w:rPr>
              <w:t>
1) полугодовую информацию об использовании средств по покупке и (или) передаче электрической энергии, товарного газа,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2) полугодовую информацию о доходе, полученном в результате превышения объемов потребления товаров (работ, услуг), в том числе отдельными группами потребителей, учтенных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3) полугодовую информацию об исполнении либо о неисполнении инвестиционной программы, учтенной в предельной цене, не позднее двадцать пятого числа месяца, следующего за отчетным полугодием;</w:t>
            </w:r>
          </w:p>
          <w:p>
            <w:pPr>
              <w:spacing w:after="20"/>
              <w:ind w:left="20"/>
              <w:jc w:val="both"/>
            </w:pPr>
            <w:r>
              <w:rPr>
                <w:rFonts w:ascii="Times New Roman"/>
                <w:b w:val="false"/>
                <w:i w:val="false"/>
                <w:color w:val="000000"/>
                <w:sz w:val="20"/>
              </w:rPr>
              <w:t>
4) информацию о повышении предельных цен на товары (работы, услуги) и обосновывающие материалы не позднее пяти рабочих дней со дня их направления на согласование уполномоченному органу, осуществляющему руководство в сферах естественных монополий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своем интернет-ресурсе либо интернет-ресурсе уполномоченного органа, осуществляющего руководство в сферах естественных монополий, информации об отпускных ценах, о результатах публичных слушаний и финансовой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средств на покупку и (или) передачу электрической энергии, товарного газа, учтенных в предельных ценах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0" w:id="92"/>
      <w:r>
        <w:rPr>
          <w:rFonts w:ascii="Times New Roman"/>
          <w:b w:val="false"/>
          <w:i w:val="false"/>
          <w:color w:val="000000"/>
          <w:sz w:val="28"/>
        </w:rPr>
        <w:t>
      Должностное (ые) лицо (а) ________________________________________</w:t>
      </w:r>
    </w:p>
    <w:bookmarkEnd w:id="92"/>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Руководитель субъекта контроля 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