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a0eb" w14:textId="96ca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26 мая 2017 года № 340 "Об утверждении Правил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15 декабря 2022 года № 1286. Зарегистрирован в Министерстве юстиции Республики Казахстан 15 декабря 2022 года № 31133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мая 2017 года № 340 "Об утверждении Правил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(зарегистрирован в Реестре государственной регистрации нормативных правовых актов под № 15266)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120-1, </w:t>
      </w:r>
      <w:r>
        <w:rPr>
          <w:rFonts w:ascii="Times New Roman"/>
          <w:b w:val="false"/>
          <w:i w:val="false"/>
          <w:color w:val="000000"/>
          <w:sz w:val="28"/>
        </w:rPr>
        <w:t>пунктом 2</w:t>
      </w:r>
      <w:r>
        <w:rPr>
          <w:rFonts w:ascii="Times New Roman"/>
          <w:b w:val="false"/>
          <w:i w:val="false"/>
          <w:color w:val="000000"/>
          <w:sz w:val="28"/>
        </w:rPr>
        <w:t xml:space="preserve"> статьи 120-2 и пунктом 2 статьи 120-3 Бюджетного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w:t>
      </w:r>
    </w:p>
    <w:bookmarkEnd w:id="4"/>
    <w:bookmarkStart w:name="z12"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"Правила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xml:space="preserve">
      "1. Настоящие Правила отражения поступлений бюджета в годовой консолидированной финансовой отчетности об исполнении республиканского, областного бюджета, бюджетов города республиканского значения, столицы,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120-1, </w:t>
      </w:r>
      <w:r>
        <w:rPr>
          <w:rFonts w:ascii="Times New Roman"/>
          <w:b w:val="false"/>
          <w:i w:val="false"/>
          <w:color w:val="000000"/>
          <w:sz w:val="28"/>
        </w:rPr>
        <w:t>пунктом 2</w:t>
      </w:r>
      <w:r>
        <w:rPr>
          <w:rFonts w:ascii="Times New Roman"/>
          <w:b w:val="false"/>
          <w:i w:val="false"/>
          <w:color w:val="000000"/>
          <w:sz w:val="28"/>
        </w:rPr>
        <w:t xml:space="preserve"> статьи 120-2 и пунктом 2 статьи 120-3 Бюджетного кодекса Республики Казахстан (далее – Бюджетный кодекс).";</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8" w:id="8"/>
    <w:p>
      <w:pPr>
        <w:spacing w:after="0"/>
        <w:ind w:left="0"/>
        <w:jc w:val="both"/>
      </w:pPr>
      <w:r>
        <w:rPr>
          <w:rFonts w:ascii="Times New Roman"/>
          <w:b w:val="false"/>
          <w:i w:val="false"/>
          <w:color w:val="000000"/>
          <w:sz w:val="28"/>
        </w:rPr>
        <w:t>
      "4. Уполномоченный орган в сфере исполнения республиканского бюджета, соответствующие местные уполномоченные органы по исполнению бюджета и аппараты акимов городов районного значения, сел, поселков, сельских округов отражают суммы поступлений в соответствующий бюджет в консолидированной финансовой отчетности в соответствии с требованиями, установленными настоящими Правилами.";</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20" w:id="9"/>
    <w:p>
      <w:pPr>
        <w:spacing w:after="0"/>
        <w:ind w:left="0"/>
        <w:jc w:val="both"/>
      </w:pPr>
      <w:r>
        <w:rPr>
          <w:rFonts w:ascii="Times New Roman"/>
          <w:b w:val="false"/>
          <w:i w:val="false"/>
          <w:color w:val="000000"/>
          <w:sz w:val="28"/>
        </w:rPr>
        <w:t xml:space="preserve">
      "8. Консолидированная финансовая отчетность об исполнении соответствующих бюджетов формируется в соответствии с требованиями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бюджета района (города областного значения), районного (города областного значения) бюджета, бюджетов города районного значения, села, поселка, сельского округа,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6 декабря 2016 года № 640 (зарегистрирован в Реестре государственной регистрации нормативных правовых актов под № 14624).</w:t>
      </w:r>
    </w:p>
    <w:bookmarkEnd w:id="9"/>
    <w:bookmarkStart w:name="z21" w:id="10"/>
    <w:p>
      <w:pPr>
        <w:spacing w:after="0"/>
        <w:ind w:left="0"/>
        <w:jc w:val="both"/>
      </w:pPr>
      <w:r>
        <w:rPr>
          <w:rFonts w:ascii="Times New Roman"/>
          <w:b w:val="false"/>
          <w:i w:val="false"/>
          <w:color w:val="000000"/>
          <w:sz w:val="28"/>
        </w:rPr>
        <w:t>
      9. Первичным документом для отражения начисленных налоговых поступлений в бюджет является Сводный отчет по итоговым операциям налогов и платежей в бюджет, по которым ведется учет в органах государственных доходов, формируемый уполномоченным органом по сбору государственных доходов и его территориальными подразделениями согласно приложению к настоящим Правилам.</w:t>
      </w:r>
    </w:p>
    <w:bookmarkEnd w:id="10"/>
    <w:bookmarkStart w:name="z22" w:id="11"/>
    <w:p>
      <w:pPr>
        <w:spacing w:after="0"/>
        <w:ind w:left="0"/>
        <w:jc w:val="both"/>
      </w:pPr>
      <w:r>
        <w:rPr>
          <w:rFonts w:ascii="Times New Roman"/>
          <w:b w:val="false"/>
          <w:i w:val="false"/>
          <w:color w:val="000000"/>
          <w:sz w:val="28"/>
        </w:rPr>
        <w:t>
      Первичными документами для отражения прочих категорий начисленных поступлений являются формы отчетов по поступлениям, полученные из Интегрированной автоматизированной информационной системы "е-Минфин" (далее – ИАИС).</w:t>
      </w:r>
    </w:p>
    <w:bookmarkEnd w:id="11"/>
    <w:bookmarkStart w:name="z23" w:id="12"/>
    <w:p>
      <w:pPr>
        <w:spacing w:after="0"/>
        <w:ind w:left="0"/>
        <w:jc w:val="both"/>
      </w:pPr>
      <w:r>
        <w:rPr>
          <w:rFonts w:ascii="Times New Roman"/>
          <w:b w:val="false"/>
          <w:i w:val="false"/>
          <w:color w:val="000000"/>
          <w:sz w:val="28"/>
        </w:rPr>
        <w:t xml:space="preserve">
      Первичным документом для отражения дебиторской задолженности по распределенным ввозным таможенным, а также специальным, антидемпинговым, компенсационным пошлинам, но не перечисленным Республике Казахстан на отчетную дату государствами-членами Евразийского экономического союза, являются отчеты о зачислении и распределении сумм ввозных таможенных пошлин, а также специальных, антидепинговых и компенсационных пошлин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Договора о Евразийском экономическом союзе от 29 мая 2014 года.";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 </w:t>
      </w:r>
    </w:p>
    <w:bookmarkStart w:name="z25" w:id="13"/>
    <w:p>
      <w:pPr>
        <w:spacing w:after="0"/>
        <w:ind w:left="0"/>
        <w:jc w:val="both"/>
      </w:pPr>
      <w:r>
        <w:rPr>
          <w:rFonts w:ascii="Times New Roman"/>
          <w:b w:val="false"/>
          <w:i w:val="false"/>
          <w:color w:val="000000"/>
          <w:sz w:val="28"/>
        </w:rPr>
        <w:t>
      "30. Для учета дебиторской задолженности применяется счет 1291 "Краткосрочная дебиторская задолженность по расчетам с бюджетом по налоговым и неналоговым поступлениям", кредиторской задолженности – счет 3280 "Краткосрочная кредиторская задолженность по налоговым и неналоговым поступлениям в бюджет".</w:t>
      </w:r>
    </w:p>
    <w:bookmarkEnd w:id="13"/>
    <w:bookmarkStart w:name="z26" w:id="14"/>
    <w:p>
      <w:pPr>
        <w:spacing w:after="0"/>
        <w:ind w:left="0"/>
        <w:jc w:val="both"/>
      </w:pPr>
      <w:r>
        <w:rPr>
          <w:rFonts w:ascii="Times New Roman"/>
          <w:b w:val="false"/>
          <w:i w:val="false"/>
          <w:color w:val="000000"/>
          <w:sz w:val="28"/>
        </w:rPr>
        <w:t>
      Данные дебиторской/кредиторской задолженности по налоговым поступлениям в бюджет соответствуют сальдо задолженности недоимки/переплаты по налогам (платежам) за минусом невыясненных поступлений и возвратов Сводного отчета по итоговым операциям налогов и платежей в бюджет.</w:t>
      </w:r>
    </w:p>
    <w:bookmarkEnd w:id="14"/>
    <w:bookmarkStart w:name="z27" w:id="15"/>
    <w:p>
      <w:pPr>
        <w:spacing w:after="0"/>
        <w:ind w:left="0"/>
        <w:jc w:val="both"/>
      </w:pPr>
      <w:r>
        <w:rPr>
          <w:rFonts w:ascii="Times New Roman"/>
          <w:b w:val="false"/>
          <w:i w:val="false"/>
          <w:color w:val="000000"/>
          <w:sz w:val="28"/>
        </w:rPr>
        <w:t>
      В состав дебиторской/кредиторской задолженности по налоговым поступлениям в бюджет включается задолженность по распределенным, но не перечисленным ввозным таможенным, а также специальным, антидемпинговым, компенсационным пошлинам на отчетную дату государств-членов Евразийского экономического союза.";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9" w:id="16"/>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6"/>
    <w:bookmarkStart w:name="z30" w:id="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
    <w:bookmarkStart w:name="z31" w:id="1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8"/>
    <w:bookmarkStart w:name="z32" w:id="1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9"/>
    <w:bookmarkStart w:name="z33" w:id="20"/>
    <w:p>
      <w:pPr>
        <w:spacing w:after="0"/>
        <w:ind w:left="0"/>
        <w:jc w:val="both"/>
      </w:pPr>
      <w:r>
        <w:rPr>
          <w:rFonts w:ascii="Times New Roman"/>
          <w:b w:val="false"/>
          <w:i w:val="false"/>
          <w:color w:val="000000"/>
          <w:sz w:val="28"/>
        </w:rPr>
        <w:t xml:space="preserve">
      3. Настоящий приказ вводится в действие с 1 января 2023 года и подлежит официальному опубликованию, за исключением абзацев девятнадцатого и двадцать третьего пункта 1 настоящего приказа, а также части второй пункта 3, пунктов 12, 13, 14, 15 и 17, и подпункта 4) пункта 20 Пояснения по заполнению формы, предназначенной для сбора административных данных "Сводный отчет по итоговым операциям налогов и платежей в бюджет, по которым ведется учет в органах государственных доходов", которые вводятся в действие после дня его первого официального опубликования. </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35"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2022 года № 1286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отражения поступлений бюджета</w:t>
            </w:r>
            <w:r>
              <w:br/>
            </w:r>
            <w:r>
              <w:rPr>
                <w:rFonts w:ascii="Times New Roman"/>
                <w:b w:val="false"/>
                <w:i w:val="false"/>
                <w:color w:val="000000"/>
                <w:sz w:val="20"/>
              </w:rPr>
              <w:t>в годовой консолидированной</w:t>
            </w:r>
            <w:r>
              <w:br/>
            </w:r>
            <w:r>
              <w:rPr>
                <w:rFonts w:ascii="Times New Roman"/>
                <w:b w:val="false"/>
                <w:i w:val="false"/>
                <w:color w:val="000000"/>
                <w:sz w:val="20"/>
              </w:rPr>
              <w:t>финансовой отчетности</w:t>
            </w:r>
            <w:r>
              <w:br/>
            </w:r>
            <w:r>
              <w:rPr>
                <w:rFonts w:ascii="Times New Roman"/>
                <w:b w:val="false"/>
                <w:i w:val="false"/>
                <w:color w:val="000000"/>
                <w:sz w:val="20"/>
              </w:rPr>
              <w:t>об исполнении</w:t>
            </w:r>
            <w:r>
              <w:br/>
            </w:r>
            <w:r>
              <w:rPr>
                <w:rFonts w:ascii="Times New Roman"/>
                <w:b w:val="false"/>
                <w:i w:val="false"/>
                <w:color w:val="000000"/>
                <w:sz w:val="20"/>
              </w:rPr>
              <w:t>республиканского, областного</w:t>
            </w:r>
            <w:r>
              <w:br/>
            </w:r>
            <w:r>
              <w:rPr>
                <w:rFonts w:ascii="Times New Roman"/>
                <w:b w:val="false"/>
                <w:i w:val="false"/>
                <w:color w:val="000000"/>
                <w:sz w:val="20"/>
              </w:rPr>
              <w:t>бюджета, бюджетов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бюджета района</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районного (города областного</w:t>
            </w:r>
            <w:r>
              <w:br/>
            </w:r>
            <w:r>
              <w:rPr>
                <w:rFonts w:ascii="Times New Roman"/>
                <w:b w:val="false"/>
                <w:i w:val="false"/>
                <w:color w:val="000000"/>
                <w:sz w:val="20"/>
              </w:rPr>
              <w:t>значения) бюджета, бюджетов</w:t>
            </w:r>
            <w:r>
              <w:br/>
            </w:r>
            <w:r>
              <w:rPr>
                <w:rFonts w:ascii="Times New Roman"/>
                <w:b w:val="false"/>
                <w:i w:val="false"/>
                <w:color w:val="000000"/>
                <w:sz w:val="20"/>
              </w:rPr>
              <w:t>города районного значения,</w:t>
            </w:r>
            <w:r>
              <w:br/>
            </w:r>
            <w:r>
              <w:rPr>
                <w:rFonts w:ascii="Times New Roman"/>
                <w:b w:val="false"/>
                <w:i w:val="false"/>
                <w:color w:val="000000"/>
                <w:sz w:val="20"/>
              </w:rPr>
              <w:t>села, поселка, сельского округа</w:t>
            </w:r>
            <w:r>
              <w:br/>
            </w:r>
            <w:r>
              <w:rPr>
                <w:rFonts w:ascii="Times New Roman"/>
                <w:b w:val="false"/>
                <w:i w:val="false"/>
                <w:color w:val="000000"/>
                <w:sz w:val="20"/>
              </w:rPr>
              <w:t>Форма, предназначенная</w:t>
            </w:r>
            <w:r>
              <w:br/>
            </w:r>
            <w:r>
              <w:rPr>
                <w:rFonts w:ascii="Times New Roman"/>
                <w:b w:val="false"/>
                <w:i w:val="false"/>
                <w:color w:val="000000"/>
                <w:sz w:val="20"/>
              </w:rPr>
              <w:t>для сбора административных данных</w:t>
            </w:r>
          </w:p>
        </w:tc>
      </w:tr>
    </w:tbl>
    <w:bookmarkStart w:name="z38" w:id="22"/>
    <w:p>
      <w:pPr>
        <w:spacing w:after="0"/>
        <w:ind w:left="0"/>
        <w:jc w:val="left"/>
      </w:pPr>
      <w:r>
        <w:rPr>
          <w:rFonts w:ascii="Times New Roman"/>
          <w:b/>
          <w:i w:val="false"/>
          <w:color w:val="000000"/>
        </w:rPr>
        <w:t xml:space="preserve"> Сводный отчет по итоговым операциям налогов и платежей в бюджет,</w:t>
      </w:r>
      <w:r>
        <w:br/>
      </w:r>
      <w:r>
        <w:rPr>
          <w:rFonts w:ascii="Times New Roman"/>
          <w:b/>
          <w:i w:val="false"/>
          <w:color w:val="000000"/>
        </w:rPr>
        <w:t>по которым ведется учет в органах государственных доходов* отчетный период "__" _________ __год</w:t>
      </w:r>
    </w:p>
    <w:bookmarkEnd w:id="22"/>
    <w:p>
      <w:pPr>
        <w:spacing w:after="0"/>
        <w:ind w:left="0"/>
        <w:jc w:val="both"/>
      </w:pPr>
      <w:bookmarkStart w:name="z39" w:id="23"/>
      <w:r>
        <w:rPr>
          <w:rFonts w:ascii="Times New Roman"/>
          <w:b w:val="false"/>
          <w:i w:val="false"/>
          <w:color w:val="000000"/>
          <w:sz w:val="28"/>
        </w:rPr>
        <w:t>
      Индекс: 1-СО</w:t>
      </w:r>
    </w:p>
    <w:bookmarkEnd w:id="23"/>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 minfin.gov.kz</w:t>
      </w:r>
    </w:p>
    <w:p>
      <w:pPr>
        <w:spacing w:after="0"/>
        <w:ind w:left="0"/>
        <w:jc w:val="both"/>
      </w:pPr>
      <w:r>
        <w:rPr>
          <w:rFonts w:ascii="Times New Roman"/>
          <w:b w:val="false"/>
          <w:i w:val="false"/>
          <w:color w:val="000000"/>
          <w:sz w:val="28"/>
        </w:rPr>
        <w:t>Кем представляется:</w:t>
      </w:r>
    </w:p>
    <w:p>
      <w:pPr>
        <w:spacing w:after="0"/>
        <w:ind w:left="0"/>
        <w:jc w:val="both"/>
      </w:pPr>
      <w:r>
        <w:rPr>
          <w:rFonts w:ascii="Times New Roman"/>
          <w:b w:val="false"/>
          <w:i w:val="false"/>
          <w:color w:val="000000"/>
          <w:sz w:val="28"/>
        </w:rPr>
        <w:t>Уполномоченным органом по сбору государственных доходов и его территориальными подразделениями</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Уполномоченному органу в сфере исполнения республиканского бюджета, местным уполномоченным органам по исполнению бюджета и аппаратам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 до 15 января года, следующего за отчетным финансовым годом</w:t>
      </w:r>
    </w:p>
    <w:p>
      <w:pPr>
        <w:spacing w:after="0"/>
        <w:ind w:left="0"/>
        <w:jc w:val="both"/>
      </w:pPr>
      <w:r>
        <w:rPr>
          <w:rFonts w:ascii="Times New Roman"/>
          <w:b w:val="false"/>
          <w:i w:val="false"/>
          <w:color w:val="000000"/>
          <w:sz w:val="28"/>
        </w:rPr>
        <w:t>Вид бюджета _______________</w:t>
      </w:r>
    </w:p>
    <w:p>
      <w:pPr>
        <w:spacing w:after="0"/>
        <w:ind w:left="0"/>
        <w:jc w:val="both"/>
      </w:pPr>
      <w:r>
        <w:rPr>
          <w:rFonts w:ascii="Times New Roman"/>
          <w:b w:val="false"/>
          <w:i w:val="false"/>
          <w:color w:val="000000"/>
          <w:sz w:val="28"/>
        </w:rPr>
        <w:t>Единица измерения: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 поступлений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бюджетной классификации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(зачтено)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(зачтено) налогов (платежей)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 по измененному сроку исполнения налогового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налогам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налогам (платежам)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налогам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по налогам (платежам)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Операции по налоговым поступлениям, по которым лицевые счета ведутся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Операции по налоговым поступлениям, по которым лицевые счета не ведутся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невыясненные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 w:id="24"/>
      <w:r>
        <w:rPr>
          <w:rFonts w:ascii="Times New Roman"/>
          <w:b w:val="false"/>
          <w:i w:val="false"/>
          <w:color w:val="000000"/>
          <w:sz w:val="28"/>
        </w:rPr>
        <w:t>
      Примечание: * Отчет представлен с учетом сумм таможенных платежей и налогов.</w:t>
      </w:r>
    </w:p>
    <w:bookmarkEnd w:id="24"/>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Исполнитель __________ 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42" w:id="2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5"/>
    <w:bookmarkStart w:name="z43" w:id="26"/>
    <w:p>
      <w:pPr>
        <w:spacing w:after="0"/>
        <w:ind w:left="0"/>
        <w:jc w:val="left"/>
      </w:pPr>
      <w:r>
        <w:rPr>
          <w:rFonts w:ascii="Times New Roman"/>
          <w:b/>
          <w:i w:val="false"/>
          <w:color w:val="000000"/>
        </w:rPr>
        <w:t xml:space="preserve"> Сводный отчет по итоговым операциям налогов и платежей в бюджет, по которым ведется учет в органах государственных доходов</w:t>
      </w:r>
    </w:p>
    <w:bookmarkEnd w:id="26"/>
    <w:bookmarkStart w:name="z44" w:id="27"/>
    <w:p>
      <w:pPr>
        <w:spacing w:after="0"/>
        <w:ind w:left="0"/>
        <w:jc w:val="left"/>
      </w:pPr>
      <w:r>
        <w:rPr>
          <w:rFonts w:ascii="Times New Roman"/>
          <w:b/>
          <w:i w:val="false"/>
          <w:color w:val="000000"/>
        </w:rPr>
        <w:t xml:space="preserve"> Глава 1. Общие положения</w:t>
      </w:r>
    </w:p>
    <w:bookmarkEnd w:id="27"/>
    <w:bookmarkStart w:name="z45" w:id="28"/>
    <w:p>
      <w:pPr>
        <w:spacing w:after="0"/>
        <w:ind w:left="0"/>
        <w:jc w:val="both"/>
      </w:pPr>
      <w:r>
        <w:rPr>
          <w:rFonts w:ascii="Times New Roman"/>
          <w:b w:val="false"/>
          <w:i w:val="false"/>
          <w:color w:val="000000"/>
          <w:sz w:val="28"/>
        </w:rPr>
        <w:t>
      1. Форма, предназначенная для сбора административных данных "Сводный отчет по итоговым операциям налогов и платежей в бюджет, по которым ведется учет в органах государственных доходов" (далее – Сводный отчет), разработана в соответствии с пунктом 2 Правил ведения лицевых счетов, утвержденных приказом Министра финансов Республики Казахстан от 27 февраля 2018 года № 306 (зарегистрирован в Реестре государственной регистрации нормативных правовых актов под № 16601).</w:t>
      </w:r>
    </w:p>
    <w:bookmarkEnd w:id="28"/>
    <w:bookmarkStart w:name="z46" w:id="29"/>
    <w:p>
      <w:pPr>
        <w:spacing w:after="0"/>
        <w:ind w:left="0"/>
        <w:jc w:val="both"/>
      </w:pPr>
      <w:r>
        <w:rPr>
          <w:rFonts w:ascii="Times New Roman"/>
          <w:b w:val="false"/>
          <w:i w:val="false"/>
          <w:color w:val="000000"/>
          <w:sz w:val="28"/>
        </w:rPr>
        <w:t>
      2. Сводный отчет формируется уполномоченным органом по сбору государственных доходов и его территориальным подразделением до 15 января года, следующего за отчетным финансовым годом, и представляется в уполномоченный орган в сфере исполнения республиканского бюджета и местные уполномоченные органы по исполнению бюджета.</w:t>
      </w:r>
    </w:p>
    <w:bookmarkEnd w:id="29"/>
    <w:bookmarkStart w:name="z47" w:id="30"/>
    <w:p>
      <w:pPr>
        <w:spacing w:after="0"/>
        <w:ind w:left="0"/>
        <w:jc w:val="both"/>
      </w:pPr>
      <w:r>
        <w:rPr>
          <w:rFonts w:ascii="Times New Roman"/>
          <w:b w:val="false"/>
          <w:i w:val="false"/>
          <w:color w:val="000000"/>
          <w:sz w:val="28"/>
        </w:rPr>
        <w:t xml:space="preserve">
      3. Сводный отчет заполняется на основании данных журнала платежей и лицевых счетов налогоплательщиков в тенге. </w:t>
      </w:r>
    </w:p>
    <w:bookmarkEnd w:id="30"/>
    <w:bookmarkStart w:name="z48" w:id="31"/>
    <w:p>
      <w:pPr>
        <w:spacing w:after="0"/>
        <w:ind w:left="0"/>
        <w:jc w:val="both"/>
      </w:pPr>
      <w:r>
        <w:rPr>
          <w:rFonts w:ascii="Times New Roman"/>
          <w:b w:val="false"/>
          <w:i w:val="false"/>
          <w:color w:val="000000"/>
          <w:sz w:val="28"/>
        </w:rPr>
        <w:t xml:space="preserve">
      Сводный отчет формируется с учетом всех записей, отраженных в лицевых счетах налогоплательщиков, на дату составления отчета. </w:t>
      </w:r>
    </w:p>
    <w:bookmarkEnd w:id="31"/>
    <w:bookmarkStart w:name="z49" w:id="32"/>
    <w:p>
      <w:pPr>
        <w:spacing w:after="0"/>
        <w:ind w:left="0"/>
        <w:jc w:val="both"/>
      </w:pPr>
      <w:r>
        <w:rPr>
          <w:rFonts w:ascii="Times New Roman"/>
          <w:b w:val="false"/>
          <w:i w:val="false"/>
          <w:color w:val="000000"/>
          <w:sz w:val="28"/>
        </w:rPr>
        <w:t>
      4. Сводный отчет подписывают исполнитель и руководители уполномоченного органа по сбору государственных доходов и его территориальных подразделений или лица, исполняющие их обязанности.</w:t>
      </w:r>
    </w:p>
    <w:bookmarkEnd w:id="32"/>
    <w:bookmarkStart w:name="z50" w:id="33"/>
    <w:p>
      <w:pPr>
        <w:spacing w:after="0"/>
        <w:ind w:left="0"/>
        <w:jc w:val="left"/>
      </w:pPr>
      <w:r>
        <w:rPr>
          <w:rFonts w:ascii="Times New Roman"/>
          <w:b/>
          <w:i w:val="false"/>
          <w:color w:val="000000"/>
        </w:rPr>
        <w:t xml:space="preserve"> Глава 2. Пояснение по заполнению Сводного отчета</w:t>
      </w:r>
    </w:p>
    <w:bookmarkEnd w:id="33"/>
    <w:bookmarkStart w:name="z51" w:id="34"/>
    <w:p>
      <w:pPr>
        <w:spacing w:after="0"/>
        <w:ind w:left="0"/>
        <w:jc w:val="both"/>
      </w:pPr>
      <w:r>
        <w:rPr>
          <w:rFonts w:ascii="Times New Roman"/>
          <w:b w:val="false"/>
          <w:i w:val="false"/>
          <w:color w:val="000000"/>
          <w:sz w:val="28"/>
        </w:rPr>
        <w:t>
      5. В разделе I "Операции по налоговым поступлениям, по которым лицевые счета ведутся" сводного отчета отражаются операции по налоговым поступлениям налогоплательщиков, по которым лицевые счета ведутся.</w:t>
      </w:r>
    </w:p>
    <w:bookmarkEnd w:id="34"/>
    <w:bookmarkStart w:name="z52" w:id="35"/>
    <w:p>
      <w:pPr>
        <w:spacing w:after="0"/>
        <w:ind w:left="0"/>
        <w:jc w:val="both"/>
      </w:pPr>
      <w:r>
        <w:rPr>
          <w:rFonts w:ascii="Times New Roman"/>
          <w:b w:val="false"/>
          <w:i w:val="false"/>
          <w:color w:val="000000"/>
          <w:sz w:val="28"/>
        </w:rPr>
        <w:t xml:space="preserve">
      6. В разделе II "Операции по налоговым поступлениям, по которым лицевые счета не ведутся" сводного отчета отражаются операции по налоговым поступлениям налогоплательщиков, по которым лицевые счета не ведутся. </w:t>
      </w:r>
    </w:p>
    <w:bookmarkEnd w:id="35"/>
    <w:bookmarkStart w:name="z53" w:id="36"/>
    <w:p>
      <w:pPr>
        <w:spacing w:after="0"/>
        <w:ind w:left="0"/>
        <w:jc w:val="both"/>
      </w:pPr>
      <w:r>
        <w:rPr>
          <w:rFonts w:ascii="Times New Roman"/>
          <w:b w:val="false"/>
          <w:i w:val="false"/>
          <w:color w:val="000000"/>
          <w:sz w:val="28"/>
        </w:rPr>
        <w:t>
      7. В графе 1 Сводного отчета указываются коды бюджетной классификации (далее – КБК) поступлений в соответствии с Единой бюджетной классификацией Республики Казахстан, утвержденной приказом Министра финансов Республики Казахстан от 18 сентября 2014 года № 403 (зарегистрирован в Реестре государственной регистрации нормативных правовых актов под № 9756).</w:t>
      </w:r>
    </w:p>
    <w:bookmarkEnd w:id="36"/>
    <w:bookmarkStart w:name="z54" w:id="37"/>
    <w:p>
      <w:pPr>
        <w:spacing w:after="0"/>
        <w:ind w:left="0"/>
        <w:jc w:val="both"/>
      </w:pPr>
      <w:r>
        <w:rPr>
          <w:rFonts w:ascii="Times New Roman"/>
          <w:b w:val="false"/>
          <w:i w:val="false"/>
          <w:color w:val="000000"/>
          <w:sz w:val="28"/>
        </w:rPr>
        <w:t>
      8. В графе 2 Сводного отчета указывается наименование КБК.</w:t>
      </w:r>
    </w:p>
    <w:bookmarkEnd w:id="37"/>
    <w:bookmarkStart w:name="z55" w:id="38"/>
    <w:p>
      <w:pPr>
        <w:spacing w:after="0"/>
        <w:ind w:left="0"/>
        <w:jc w:val="both"/>
      </w:pPr>
      <w:r>
        <w:rPr>
          <w:rFonts w:ascii="Times New Roman"/>
          <w:b w:val="false"/>
          <w:i w:val="false"/>
          <w:color w:val="000000"/>
          <w:sz w:val="28"/>
        </w:rPr>
        <w:t>
      9. В графе 3 Сводного отчета указывается вид платежа (налог, пеня, штраф, невыясненные поступления).</w:t>
      </w:r>
    </w:p>
    <w:bookmarkEnd w:id="38"/>
    <w:bookmarkStart w:name="z56" w:id="39"/>
    <w:p>
      <w:pPr>
        <w:spacing w:after="0"/>
        <w:ind w:left="0"/>
        <w:jc w:val="both"/>
      </w:pPr>
      <w:r>
        <w:rPr>
          <w:rFonts w:ascii="Times New Roman"/>
          <w:b w:val="false"/>
          <w:i w:val="false"/>
          <w:color w:val="000000"/>
          <w:sz w:val="28"/>
        </w:rPr>
        <w:t>
      10. В графе 4 Сводного отчета указывается сумма задолженности по налогам (платежам) в бюджет на начало отчетного года.</w:t>
      </w:r>
    </w:p>
    <w:bookmarkEnd w:id="39"/>
    <w:bookmarkStart w:name="z57" w:id="40"/>
    <w:p>
      <w:pPr>
        <w:spacing w:after="0"/>
        <w:ind w:left="0"/>
        <w:jc w:val="both"/>
      </w:pPr>
      <w:r>
        <w:rPr>
          <w:rFonts w:ascii="Times New Roman"/>
          <w:b w:val="false"/>
          <w:i w:val="false"/>
          <w:color w:val="000000"/>
          <w:sz w:val="28"/>
        </w:rPr>
        <w:t>
      11. В графе 5 Сводного отчета указывается сумма переплаты по налогам (платежам) в бюджет на начало отчетного года.</w:t>
      </w:r>
    </w:p>
    <w:bookmarkEnd w:id="40"/>
    <w:bookmarkStart w:name="z58" w:id="41"/>
    <w:p>
      <w:pPr>
        <w:spacing w:after="0"/>
        <w:ind w:left="0"/>
        <w:jc w:val="both"/>
      </w:pPr>
      <w:r>
        <w:rPr>
          <w:rFonts w:ascii="Times New Roman"/>
          <w:b w:val="false"/>
          <w:i w:val="false"/>
          <w:color w:val="000000"/>
          <w:sz w:val="28"/>
        </w:rPr>
        <w:t>
      12. В графе 6 Сводного отчета указываются суммы исчисленных налогов (платежей) по данным налоговой отчетности налогоплательщиков, начисленных на основании уведомлений органов государственных доходов по результатам проверки, Реестра к начислению (уменьшению) сумм налогов, платежей в бюджет, социальных платежей и пеней, исчисленных по сведениям уполномоченных государственных органов.</w:t>
      </w:r>
    </w:p>
    <w:bookmarkEnd w:id="41"/>
    <w:bookmarkStart w:name="z59" w:id="42"/>
    <w:p>
      <w:pPr>
        <w:spacing w:after="0"/>
        <w:ind w:left="0"/>
        <w:jc w:val="both"/>
      </w:pPr>
      <w:r>
        <w:rPr>
          <w:rFonts w:ascii="Times New Roman"/>
          <w:b w:val="false"/>
          <w:i w:val="false"/>
          <w:color w:val="000000"/>
          <w:sz w:val="28"/>
        </w:rPr>
        <w:t>
      13. В графе 7 Сводного отчета отражаются суммы уменьшенных налогов (платежей) по данным налоговой отчетности налогоплательщиков, уменьшенных на основании уведомлений органов государственных доходов по результатам проверки, Реестра к начислению (уменьшению) сумм налогов, платежей в бюджет, социальных платежей и пеней, уменьшенных по сведениям уполномоченных государственных органов.</w:t>
      </w:r>
    </w:p>
    <w:bookmarkEnd w:id="42"/>
    <w:bookmarkStart w:name="z60" w:id="43"/>
    <w:p>
      <w:pPr>
        <w:spacing w:after="0"/>
        <w:ind w:left="0"/>
        <w:jc w:val="both"/>
      </w:pPr>
      <w:r>
        <w:rPr>
          <w:rFonts w:ascii="Times New Roman"/>
          <w:b w:val="false"/>
          <w:i w:val="false"/>
          <w:color w:val="000000"/>
          <w:sz w:val="28"/>
        </w:rPr>
        <w:t>
      14. В графе 8 Сводного отчета указываются данные, полученные из уполномоченного органа в сфере исполнения республиканского бюджета по уплаченным суммам налогов (платежей) и зачтенным на данные налоги (платежи) за отчетный год.</w:t>
      </w:r>
    </w:p>
    <w:bookmarkEnd w:id="43"/>
    <w:bookmarkStart w:name="z61" w:id="44"/>
    <w:p>
      <w:pPr>
        <w:spacing w:after="0"/>
        <w:ind w:left="0"/>
        <w:jc w:val="both"/>
      </w:pPr>
      <w:r>
        <w:rPr>
          <w:rFonts w:ascii="Times New Roman"/>
          <w:b w:val="false"/>
          <w:i w:val="false"/>
          <w:color w:val="000000"/>
          <w:sz w:val="28"/>
        </w:rPr>
        <w:t>
      15. В графе 9 Сводного отчета отражаются данные, полученные из уполномоченного органа в сфере исполнения республиканского бюджета по возвращенным из бюджета суммам налогов (платежей) и зачтенным в другие налоги (платежи) и другие органы государственных доходов за отчетный год.</w:t>
      </w:r>
    </w:p>
    <w:bookmarkEnd w:id="44"/>
    <w:bookmarkStart w:name="z62" w:id="45"/>
    <w:p>
      <w:pPr>
        <w:spacing w:after="0"/>
        <w:ind w:left="0"/>
        <w:jc w:val="both"/>
      </w:pPr>
      <w:r>
        <w:rPr>
          <w:rFonts w:ascii="Times New Roman"/>
          <w:b w:val="false"/>
          <w:i w:val="false"/>
          <w:color w:val="000000"/>
          <w:sz w:val="28"/>
        </w:rPr>
        <w:t>
      16. По форме сводного отчета итоговая сумма поступлений налогов (платежей) (графа 8) за минусом возвращенных (зачтенных) налогов (платежей) (графа 9), соответствует данным по поступлениям, отраженным в отчетах об исполнении республиканского бюджета, соответствующих местных бюджетов, в соответствии с Правилами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утвержденными приказом Министра финансов Республики Казахстан от 2 декабря 2016 года № 630 (зарегистрирован в Реестре государственной регистрации нормативных правовых актов под № 14613), за исключением поступлений, подлежащих зачислению и распределению между бюджетами государств-членов Евразийского экономического союза.</w:t>
      </w:r>
    </w:p>
    <w:bookmarkEnd w:id="45"/>
    <w:bookmarkStart w:name="z63" w:id="46"/>
    <w:p>
      <w:pPr>
        <w:spacing w:after="0"/>
        <w:ind w:left="0"/>
        <w:jc w:val="both"/>
      </w:pPr>
      <w:r>
        <w:rPr>
          <w:rFonts w:ascii="Times New Roman"/>
          <w:b w:val="false"/>
          <w:i w:val="false"/>
          <w:color w:val="000000"/>
          <w:sz w:val="28"/>
        </w:rPr>
        <w:t>
      17. В графе 10 Сводного отчета указываются суммы с измененным сроком исполнения налогового обязательства по уплате налога (платежа) и суммы по графику погашения отсрочки (рассрочки).</w:t>
      </w:r>
    </w:p>
    <w:bookmarkEnd w:id="46"/>
    <w:bookmarkStart w:name="z64" w:id="47"/>
    <w:p>
      <w:pPr>
        <w:spacing w:after="0"/>
        <w:ind w:left="0"/>
        <w:jc w:val="both"/>
      </w:pPr>
      <w:r>
        <w:rPr>
          <w:rFonts w:ascii="Times New Roman"/>
          <w:b w:val="false"/>
          <w:i w:val="false"/>
          <w:color w:val="000000"/>
          <w:sz w:val="28"/>
        </w:rPr>
        <w:t>
      18. В графе 11 Сводного отчета указывается сумма задолженности по налогам (платежам) в бюджет на конец отчетного года.</w:t>
      </w:r>
    </w:p>
    <w:bookmarkEnd w:id="47"/>
    <w:bookmarkStart w:name="z65" w:id="48"/>
    <w:p>
      <w:pPr>
        <w:spacing w:after="0"/>
        <w:ind w:left="0"/>
        <w:jc w:val="both"/>
      </w:pPr>
      <w:r>
        <w:rPr>
          <w:rFonts w:ascii="Times New Roman"/>
          <w:b w:val="false"/>
          <w:i w:val="false"/>
          <w:color w:val="000000"/>
          <w:sz w:val="28"/>
        </w:rPr>
        <w:t xml:space="preserve">
      19. В графе 12 Сводного отчета указывается сумма переплаты по налогам (платежам) в бюджет на конец отчетного года. </w:t>
      </w:r>
    </w:p>
    <w:bookmarkEnd w:id="48"/>
    <w:bookmarkStart w:name="z66" w:id="49"/>
    <w:p>
      <w:pPr>
        <w:spacing w:after="0"/>
        <w:ind w:left="0"/>
        <w:jc w:val="both"/>
      </w:pPr>
      <w:r>
        <w:rPr>
          <w:rFonts w:ascii="Times New Roman"/>
          <w:b w:val="false"/>
          <w:i w:val="false"/>
          <w:color w:val="000000"/>
          <w:sz w:val="28"/>
        </w:rPr>
        <w:t>
      20. Уполномоченный орган по сбору государственных доходов и его территориальные подразделения осуществляют анализ:</w:t>
      </w:r>
    </w:p>
    <w:bookmarkEnd w:id="49"/>
    <w:bookmarkStart w:name="z67" w:id="50"/>
    <w:p>
      <w:pPr>
        <w:spacing w:after="0"/>
        <w:ind w:left="0"/>
        <w:jc w:val="both"/>
      </w:pPr>
      <w:r>
        <w:rPr>
          <w:rFonts w:ascii="Times New Roman"/>
          <w:b w:val="false"/>
          <w:i w:val="false"/>
          <w:color w:val="000000"/>
          <w:sz w:val="28"/>
        </w:rPr>
        <w:t>
      1) основных факторов, влияющих на поступления в бюджет;</w:t>
      </w:r>
    </w:p>
    <w:bookmarkEnd w:id="50"/>
    <w:bookmarkStart w:name="z68" w:id="51"/>
    <w:p>
      <w:pPr>
        <w:spacing w:after="0"/>
        <w:ind w:left="0"/>
        <w:jc w:val="both"/>
      </w:pPr>
      <w:r>
        <w:rPr>
          <w:rFonts w:ascii="Times New Roman"/>
          <w:b w:val="false"/>
          <w:i w:val="false"/>
          <w:color w:val="000000"/>
          <w:sz w:val="28"/>
        </w:rPr>
        <w:t>
      2) наиболее крупных начисленных и уплаченных, зачтенных, возвращенных сумм налоговых поступлений в бюджет в разрезе кода бюджетной классификации с указанием удельного веса к общей сумме налоговых поступлений;</w:t>
      </w:r>
    </w:p>
    <w:bookmarkEnd w:id="51"/>
    <w:bookmarkStart w:name="z69" w:id="52"/>
    <w:p>
      <w:pPr>
        <w:spacing w:after="0"/>
        <w:ind w:left="0"/>
        <w:jc w:val="both"/>
      </w:pPr>
      <w:r>
        <w:rPr>
          <w:rFonts w:ascii="Times New Roman"/>
          <w:b w:val="false"/>
          <w:i w:val="false"/>
          <w:color w:val="000000"/>
          <w:sz w:val="28"/>
        </w:rPr>
        <w:t>
      3) причин образования недоимки и переплаты;</w:t>
      </w:r>
    </w:p>
    <w:bookmarkEnd w:id="52"/>
    <w:bookmarkStart w:name="z70" w:id="53"/>
    <w:p>
      <w:pPr>
        <w:spacing w:after="0"/>
        <w:ind w:left="0"/>
        <w:jc w:val="both"/>
      </w:pPr>
      <w:r>
        <w:rPr>
          <w:rFonts w:ascii="Times New Roman"/>
          <w:b w:val="false"/>
          <w:i w:val="false"/>
          <w:color w:val="000000"/>
          <w:sz w:val="28"/>
        </w:rPr>
        <w:t>
      4) сумм недоимки, включенных в задолженность по налогам Сводного отчета.</w:t>
      </w:r>
    </w:p>
    <w:bookmarkEnd w:id="53"/>
    <w:bookmarkStart w:name="z71" w:id="54"/>
    <w:p>
      <w:pPr>
        <w:spacing w:after="0"/>
        <w:ind w:left="0"/>
        <w:jc w:val="both"/>
      </w:pPr>
      <w:r>
        <w:rPr>
          <w:rFonts w:ascii="Times New Roman"/>
          <w:b w:val="false"/>
          <w:i w:val="false"/>
          <w:color w:val="000000"/>
          <w:sz w:val="28"/>
        </w:rPr>
        <w:t>
      Данные по анализу представляются не позднее 10 февраля года, следующего за отчетным финансовым годом, за полугодие – не позднее 10 августа текущего года.</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