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fb55" w14:textId="cb5f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30 марта 2022 года № 14/124-VII. Зарегистрировано в Министерстве юстиции Республики Казахстан 14 апреля 2022 года № 27553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проекта (схемы) зонирования земель города Шымкент,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земель, находящихся в зонах 1, 2, 3, за исключением земель, занятых под автостоянки (паркинги), автозаправочные станции, несельскохозяйственного назначения, используемых для сельскохозяйственных целей, повысить на 50 (пятьдесят)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земель, находящихся в зоне 4, за исключением земель, занятых под автостоянки (паркинги), автозаправочные станции, несельскохозяйственного назначения, используемых для сельскохозяйственных целей, повысить на 40 (сорок)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земель, находящихся в зонах 5, 6, 7, за исключением земель, занятых под автостоянки (паркинги), автозаправочные станции, несельскохозяйственного назначения, используемых для сельскохозяйственных целей, оставить утвержденные базовые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1, 2, 3, 4, 5, 6, 7 для земель несельскохозяйственного назначения, используемых для сельскохозяйственных целей, понизить на 50 (пятьдесят)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14 сентября 2020 года № 69/627-6с "О корректировке базовых ставок земельного налога" (зарегистрировано в Реестре государственной регистрации нормативных правовых актов под № 126).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