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0a9d" w14:textId="8210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23 ноября 2022 года № 308/10. Зарегистрировано в Министерстве юстиции Республики Казахстан 30 ноября 2022 года № 30865</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реального сектора экономики Железинского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Железинского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Железинского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23 ноября 2022 года</w:t>
            </w:r>
            <w:r>
              <w:br/>
            </w:r>
            <w:r>
              <w:rPr>
                <w:rFonts w:ascii="Times New Roman"/>
                <w:b w:val="false"/>
                <w:i w:val="false"/>
                <w:color w:val="000000"/>
                <w:sz w:val="20"/>
              </w:rPr>
              <w:t>№ 308/10</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9"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p>
      <w:pPr>
        <w:spacing w:after="0"/>
        <w:ind w:left="0"/>
        <w:jc w:val="both"/>
      </w:pPr>
      <w:r>
        <w:rPr>
          <w:rFonts w:ascii="Times New Roman"/>
          <w:b w:val="false"/>
          <w:i w:val="false"/>
          <w:color w:val="000000"/>
          <w:sz w:val="28"/>
        </w:rPr>
        <w:t>
      3. Государственное учреждение "Отдел реального сектора экономики Железинского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и его части единого архитектурного облика.</w:t>
      </w:r>
    </w:p>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городу и ее части.</w:t>
      </w:r>
    </w:p>
    <w:p>
      <w:pPr>
        <w:spacing w:after="0"/>
        <w:ind w:left="0"/>
        <w:jc w:val="both"/>
      </w:pPr>
      <w:r>
        <w:rPr>
          <w:rFonts w:ascii="Times New Roman"/>
          <w:b w:val="false"/>
          <w:i w:val="false"/>
          <w:color w:val="000000"/>
          <w:sz w:val="28"/>
        </w:rPr>
        <w:t>
      5. Акимат Железинского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Start w:name="z10" w:id="8"/>
    <w:p>
      <w:pPr>
        <w:spacing w:after="0"/>
        <w:ind w:left="0"/>
        <w:jc w:val="left"/>
      </w:pPr>
      <w:r>
        <w:rPr>
          <w:rFonts w:ascii="Times New Roman"/>
          <w:b/>
          <w:i w:val="false"/>
          <w:color w:val="000000"/>
        </w:rPr>
        <w:t xml:space="preserve"> Глава 4. Заключительные положения</w:t>
      </w:r>
    </w:p>
    <w:bookmarkEnd w:id="8"/>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Железинского района,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