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b44b" w14:textId="c09b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Аккайынском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12 августа 2022 года № 17-3. Зарегистрировано в Министерстве юстиции Республики Казахстан 16 августа 2022 года № 29128. Утратило силу решением маслихата Аккайынского района Северо-Казахстанской области от 29 февраля 2024 года № 14-14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Аккайынском районе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Аккайынском районе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Аккайынском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Аккайынского района Северо-Казахстанской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Аккайынского района Северо-Казахстанской области" (далее – уполномоченный орган).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Уполномоченный орган отказывает в предоставлении жилищной помощи в порядке и сроки, установленным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Аккайынского района Северо-Казахстанской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Аккайынского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представленных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 в соответствии с решением маслихата Аккайынского района Северо-Казахстанской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 в соответствии с решением маслихата Аккайынского района Северо-Казахстанской области от 26.05.2023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