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e25c" w14:textId="ba6e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28 ноября 2022 года № 413. Зарегистрировано в Министерстве юстиции Республики Казахстан 13 декабря 2022 года № 31083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Ордабасынского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Ордабасынского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интернет-ресурсах акимата Ордабасынского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Ордабасынского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28 ноября 2022 года № 413</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Ордабасынского района Туркестанской области от 19.07.2024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7"/>
    <w:bookmarkStart w:name="z11"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2" w:id="9"/>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9"/>
    <w:bookmarkStart w:name="z13"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и жилищной инспекции акимата Ордабасынского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Ордабасынского района.</w:t>
      </w:r>
    </w:p>
    <w:bookmarkEnd w:id="10"/>
    <w:bookmarkStart w:name="z14" w:id="11"/>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Ордабасынского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Ордабасынского района.</w:t>
      </w:r>
    </w:p>
    <w:bookmarkEnd w:id="11"/>
    <w:bookmarkStart w:name="z15" w:id="12"/>
    <w:p>
      <w:pPr>
        <w:spacing w:after="0"/>
        <w:ind w:left="0"/>
        <w:jc w:val="both"/>
      </w:pPr>
      <w:r>
        <w:rPr>
          <w:rFonts w:ascii="Times New Roman"/>
          <w:b w:val="false"/>
          <w:i w:val="false"/>
          <w:color w:val="000000"/>
          <w:sz w:val="28"/>
        </w:rPr>
        <w:t>
      5. Акимат Ордабасынского района организуют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6" w:id="1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3"/>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статьи 42-1 Закона,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Start w:name="z17"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8"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9"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20"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1"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2" w:id="19"/>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3"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4"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5" w:id="22"/>
    <w:p>
      <w:pPr>
        <w:spacing w:after="0"/>
        <w:ind w:left="0"/>
        <w:jc w:val="left"/>
      </w:pPr>
      <w:r>
        <w:rPr>
          <w:rFonts w:ascii="Times New Roman"/>
          <w:b/>
          <w:i w:val="false"/>
          <w:color w:val="000000"/>
        </w:rPr>
        <w:t xml:space="preserve"> Глава 4. Заключительные положения</w:t>
      </w:r>
    </w:p>
    <w:bookmarkEnd w:id="22"/>
    <w:bookmarkStart w:name="z26"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