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9801" w14:textId="6759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p>
      <w:pPr>
        <w:spacing w:after="0"/>
        <w:ind w:left="0"/>
        <w:jc w:val="both"/>
      </w:pPr>
      <w:r>
        <w:rPr>
          <w:rFonts w:ascii="Times New Roman"/>
          <w:b w:val="false"/>
          <w:i w:val="false"/>
          <w:color w:val="000000"/>
          <w:sz w:val="28"/>
        </w:rPr>
        <w:t>Постановление акимата Сайрамского района Туркестанской области от 23 сентября 2022 года № 325. Зарегистрировано в Министерстве юстиции Республики Казахстан 12 октября 2022 года № 30117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акимат Сайрамского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Сайрамского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Сайрамского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Сайрамского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Сайрамского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23 сентября 2022 года № 325</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Сайрамского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Сайрамского района.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Сайрамского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населенным пунктам района.</w:t>
      </w:r>
    </w:p>
    <w:bookmarkEnd w:id="11"/>
    <w:bookmarkStart w:name="z14" w:id="12"/>
    <w:p>
      <w:pPr>
        <w:spacing w:after="0"/>
        <w:ind w:left="0"/>
        <w:jc w:val="both"/>
      </w:pPr>
      <w:r>
        <w:rPr>
          <w:rFonts w:ascii="Times New Roman"/>
          <w:b w:val="false"/>
          <w:i w:val="false"/>
          <w:color w:val="000000"/>
          <w:sz w:val="28"/>
        </w:rPr>
        <w:t>
      5. Аппараты акимов сельских округов Сайрамского района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проектом единого архитектурного облика на официальном интернет - 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с привлечением специалистов в сфере проектирования и строительства.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проводятся.</w:t>
      </w:r>
    </w:p>
    <w:bookmarkEnd w:id="14"/>
    <w:bookmarkStart w:name="z17" w:id="15"/>
    <w:p>
      <w:pPr>
        <w:spacing w:after="0"/>
        <w:ind w:left="0"/>
        <w:jc w:val="both"/>
      </w:pPr>
      <w:r>
        <w:rPr>
          <w:rFonts w:ascii="Times New Roman"/>
          <w:b w:val="false"/>
          <w:i w:val="false"/>
          <w:color w:val="000000"/>
          <w:sz w:val="28"/>
        </w:rPr>
        <w:t>
      8. В случае принятия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 Республики Казахстан.</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 - 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