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9d4d3" w14:textId="319d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перечня категорий получателей жилищных сертификатов по Созакскому району</w:t>
      </w:r>
    </w:p>
    <w:p>
      <w:pPr>
        <w:spacing w:after="0"/>
        <w:ind w:left="0"/>
        <w:jc w:val="both"/>
      </w:pPr>
      <w:r>
        <w:rPr>
          <w:rFonts w:ascii="Times New Roman"/>
          <w:b w:val="false"/>
          <w:i w:val="false"/>
          <w:color w:val="000000"/>
          <w:sz w:val="28"/>
        </w:rPr>
        <w:t>Решение Созакского районного маслихата Туркестанской области от 23 сентября 2022 года № 127. Зарегистрировано в Министерстве юстиции Республики Казахстан 26 сентября 2022 года № 29803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14-1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20 июня 2019 года № 417 "Об утверждении правил предоставления жилищных сертификатов" (зарегистрирован в Реестре государственной регистрации нормативных правовых актов № 18883), Созакский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перечень категорий получателей жилищных сертификатов по Созакскому району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Созакского районного маслихата</w:t>
            </w:r>
            <w:r>
              <w:br/>
            </w:r>
            <w:r>
              <w:rPr>
                <w:rFonts w:ascii="Times New Roman"/>
                <w:b w:val="false"/>
                <w:i w:val="false"/>
                <w:color w:val="000000"/>
                <w:sz w:val="20"/>
              </w:rPr>
              <w:t>от 23 сентября 2022 года № 127</w:t>
            </w:r>
          </w:p>
        </w:tc>
      </w:tr>
    </w:tbl>
    <w:bookmarkStart w:name="z5" w:id="3"/>
    <w:p>
      <w:pPr>
        <w:spacing w:after="0"/>
        <w:ind w:left="0"/>
        <w:jc w:val="left"/>
      </w:pPr>
      <w:r>
        <w:rPr>
          <w:rFonts w:ascii="Times New Roman"/>
          <w:b/>
          <w:i w:val="false"/>
          <w:color w:val="000000"/>
        </w:rPr>
        <w:t xml:space="preserve"> Размер жилищных сертификатов по Созакскому району</w:t>
      </w:r>
    </w:p>
    <w:bookmarkEnd w:id="3"/>
    <w:p>
      <w:pPr>
        <w:spacing w:after="0"/>
        <w:ind w:left="0"/>
        <w:jc w:val="both"/>
      </w:pPr>
      <w:r>
        <w:rPr>
          <w:rFonts w:ascii="Times New Roman"/>
          <w:b w:val="false"/>
          <w:i w:val="false"/>
          <w:color w:val="ff0000"/>
          <w:sz w:val="28"/>
        </w:rPr>
        <w:t xml:space="preserve">
      Сноска. Приложение 1 - в редакции решения Созакского районного маслихата Туркестанской области от 24.12.2024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4"/>
    <w:p>
      <w:pPr>
        <w:spacing w:after="0"/>
        <w:ind w:left="0"/>
        <w:jc w:val="both"/>
      </w:pPr>
      <w:r>
        <w:rPr>
          <w:rFonts w:ascii="Times New Roman"/>
          <w:b w:val="false"/>
          <w:i w:val="false"/>
          <w:color w:val="000000"/>
          <w:sz w:val="28"/>
        </w:rPr>
        <w:t>
      1. Для покрытия части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государственной программы жилищного строительства, утвержденной Правительством Республики Казахстан, жилищной программы реализованной по поручению Главы Государства жилищная программа "Наурыз", определить размер жилищных сертификатов по Созакскому району:</w:t>
      </w:r>
    </w:p>
    <w:bookmarkEnd w:id="4"/>
    <w:p>
      <w:pPr>
        <w:spacing w:after="0"/>
        <w:ind w:left="0"/>
        <w:jc w:val="both"/>
      </w:pPr>
      <w:r>
        <w:rPr>
          <w:rFonts w:ascii="Times New Roman"/>
          <w:b w:val="false"/>
          <w:i w:val="false"/>
          <w:color w:val="000000"/>
          <w:sz w:val="28"/>
        </w:rPr>
        <w:t>
      1) 10 % от суммы первоначального взноса, но не более 1 500 000 (один миллион пятьсот тысяч) тенге в виде социальной помощи;</w:t>
      </w:r>
    </w:p>
    <w:p>
      <w:pPr>
        <w:spacing w:after="0"/>
        <w:ind w:left="0"/>
        <w:jc w:val="both"/>
      </w:pPr>
      <w:r>
        <w:rPr>
          <w:rFonts w:ascii="Times New Roman"/>
          <w:b w:val="false"/>
          <w:i w:val="false"/>
          <w:color w:val="000000"/>
          <w:sz w:val="28"/>
        </w:rPr>
        <w:t>
      2) 10 % от суммы первоначального взноса, но не более 1 500 000 (один миллион пятьсот тысяч) тенге в виде социальной поддержки.</w:t>
      </w:r>
    </w:p>
    <w:p>
      <w:pPr>
        <w:spacing w:after="0"/>
        <w:ind w:left="0"/>
        <w:jc w:val="both"/>
      </w:pPr>
      <w:r>
        <w:rPr>
          <w:rFonts w:ascii="Times New Roman"/>
          <w:b w:val="false"/>
          <w:i w:val="false"/>
          <w:color w:val="000000"/>
          <w:sz w:val="28"/>
        </w:rPr>
        <w:t>
      Сумма жилищного сертификата определяется в едином размере не более 1 500 000 (один миллион пятьсот тысяч) тенге для каждого получателя.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Созакского районного маслихата</w:t>
            </w:r>
            <w:r>
              <w:br/>
            </w:r>
            <w:r>
              <w:rPr>
                <w:rFonts w:ascii="Times New Roman"/>
                <w:b w:val="false"/>
                <w:i w:val="false"/>
                <w:color w:val="000000"/>
                <w:sz w:val="20"/>
              </w:rPr>
              <w:t>от 23 сентября 2022 года № 127</w:t>
            </w:r>
          </w:p>
        </w:tc>
      </w:tr>
    </w:tbl>
    <w:bookmarkStart w:name="z9" w:id="5"/>
    <w:p>
      <w:pPr>
        <w:spacing w:after="0"/>
        <w:ind w:left="0"/>
        <w:jc w:val="left"/>
      </w:pPr>
      <w:r>
        <w:rPr>
          <w:rFonts w:ascii="Times New Roman"/>
          <w:b/>
          <w:i w:val="false"/>
          <w:color w:val="000000"/>
        </w:rPr>
        <w:t xml:space="preserve"> Перечень категорий получателей жилищных сертификатов по Созакскому району</w:t>
      </w:r>
    </w:p>
    <w:bookmarkEnd w:id="5"/>
    <w:p>
      <w:pPr>
        <w:spacing w:after="0"/>
        <w:ind w:left="0"/>
        <w:jc w:val="both"/>
      </w:pPr>
      <w:r>
        <w:rPr>
          <w:rFonts w:ascii="Times New Roman"/>
          <w:b w:val="false"/>
          <w:i w:val="false"/>
          <w:color w:val="ff0000"/>
          <w:sz w:val="28"/>
        </w:rPr>
        <w:t xml:space="preserve">
      Сноска. Приложение 2 - в редакции решения Созакского районного маслихата Туркестанской области от 24.12.2024 </w:t>
      </w:r>
      <w:r>
        <w:rPr>
          <w:rFonts w:ascii="Times New Roman"/>
          <w:b w:val="false"/>
          <w:i w:val="false"/>
          <w:color w:val="ff0000"/>
          <w:sz w:val="28"/>
        </w:rPr>
        <w:t>№ 160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p>
      <w:pPr>
        <w:spacing w:after="0"/>
        <w:ind w:left="0"/>
        <w:jc w:val="both"/>
      </w:pPr>
      <w:r>
        <w:rPr>
          <w:rFonts w:ascii="Times New Roman"/>
          <w:b w:val="false"/>
          <w:i w:val="false"/>
          <w:color w:val="000000"/>
          <w:sz w:val="28"/>
        </w:rPr>
        <w:t>
      3) ветераны боевых действий на территории других государств;</w:t>
      </w:r>
    </w:p>
    <w:p>
      <w:pPr>
        <w:spacing w:after="0"/>
        <w:ind w:left="0"/>
        <w:jc w:val="both"/>
      </w:pPr>
      <w:r>
        <w:rPr>
          <w:rFonts w:ascii="Times New Roman"/>
          <w:b w:val="false"/>
          <w:i w:val="false"/>
          <w:color w:val="000000"/>
          <w:sz w:val="28"/>
        </w:rPr>
        <w:t>
      4) лица с инвалидностью первой и второй групп;</w:t>
      </w:r>
    </w:p>
    <w:p>
      <w:pPr>
        <w:spacing w:after="0"/>
        <w:ind w:left="0"/>
        <w:jc w:val="both"/>
      </w:pPr>
      <w:r>
        <w:rPr>
          <w:rFonts w:ascii="Times New Roman"/>
          <w:b w:val="false"/>
          <w:i w:val="false"/>
          <w:color w:val="000000"/>
          <w:sz w:val="28"/>
        </w:rPr>
        <w:t>
      5) семьи, имеющие или воспитывающие детей с инвалидностью;</w:t>
      </w:r>
    </w:p>
    <w:p>
      <w:pPr>
        <w:spacing w:after="0"/>
        <w:ind w:left="0"/>
        <w:jc w:val="both"/>
      </w:pPr>
      <w:r>
        <w:rPr>
          <w:rFonts w:ascii="Times New Roman"/>
          <w:b w:val="false"/>
          <w:i w:val="false"/>
          <w:color w:val="000000"/>
          <w:sz w:val="28"/>
        </w:rPr>
        <w:t>
      6) лица, страдающие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w:t>
      </w:r>
    </w:p>
    <w:p>
      <w:pPr>
        <w:spacing w:after="0"/>
        <w:ind w:left="0"/>
        <w:jc w:val="both"/>
      </w:pPr>
      <w:r>
        <w:rPr>
          <w:rFonts w:ascii="Times New Roman"/>
          <w:b w:val="false"/>
          <w:i w:val="false"/>
          <w:color w:val="000000"/>
          <w:sz w:val="28"/>
        </w:rPr>
        <w:t>
      7) пенсионеры по возрасту;</w:t>
      </w:r>
    </w:p>
    <w:p>
      <w:pPr>
        <w:spacing w:after="0"/>
        <w:ind w:left="0"/>
        <w:jc w:val="both"/>
      </w:pPr>
      <w:r>
        <w:rPr>
          <w:rFonts w:ascii="Times New Roman"/>
          <w:b w:val="false"/>
          <w:i w:val="false"/>
          <w:color w:val="000000"/>
          <w:sz w:val="28"/>
        </w:rPr>
        <w:t>
      8) дети-сироты и дети, оставшиеся без попечения родителей, не достигшие двадцати девяти лет, потерявшие родителей до совершеннолетия. При призыве таких лиц на воинскую службу возраст продлевается на срок прохождения срочной воинской службы;</w:t>
      </w:r>
    </w:p>
    <w:p>
      <w:pPr>
        <w:spacing w:after="0"/>
        <w:ind w:left="0"/>
        <w:jc w:val="both"/>
      </w:pPr>
      <w:r>
        <w:rPr>
          <w:rFonts w:ascii="Times New Roman"/>
          <w:b w:val="false"/>
          <w:i w:val="false"/>
          <w:color w:val="000000"/>
          <w:sz w:val="28"/>
        </w:rPr>
        <w:t>
      9) кандасы;</w:t>
      </w:r>
    </w:p>
    <w:p>
      <w:pPr>
        <w:spacing w:after="0"/>
        <w:ind w:left="0"/>
        <w:jc w:val="both"/>
      </w:pPr>
      <w:r>
        <w:rPr>
          <w:rFonts w:ascii="Times New Roman"/>
          <w:b w:val="false"/>
          <w:i w:val="false"/>
          <w:color w:val="000000"/>
          <w:sz w:val="28"/>
        </w:rPr>
        <w:t>
      10) лица, лишившиеся жилища в результате экологических бедствий,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11)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 многодетные семьи;</w:t>
      </w:r>
    </w:p>
    <w:p>
      <w:pPr>
        <w:spacing w:after="0"/>
        <w:ind w:left="0"/>
        <w:jc w:val="both"/>
      </w:pPr>
      <w:r>
        <w:rPr>
          <w:rFonts w:ascii="Times New Roman"/>
          <w:b w:val="false"/>
          <w:i w:val="false"/>
          <w:color w:val="000000"/>
          <w:sz w:val="28"/>
        </w:rPr>
        <w:t>
      12) семьи лиц, погибших (умерших)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w:t>
      </w:r>
    </w:p>
    <w:p>
      <w:pPr>
        <w:spacing w:after="0"/>
        <w:ind w:left="0"/>
        <w:jc w:val="both"/>
      </w:pPr>
      <w:r>
        <w:rPr>
          <w:rFonts w:ascii="Times New Roman"/>
          <w:b w:val="false"/>
          <w:i w:val="false"/>
          <w:color w:val="000000"/>
          <w:sz w:val="28"/>
        </w:rPr>
        <w:t>
      13) неполные семьи;</w:t>
      </w:r>
    </w:p>
    <w:p>
      <w:pPr>
        <w:spacing w:after="0"/>
        <w:ind w:left="0"/>
        <w:jc w:val="both"/>
      </w:pPr>
      <w:r>
        <w:rPr>
          <w:rFonts w:ascii="Times New Roman"/>
          <w:b w:val="false"/>
          <w:i w:val="false"/>
          <w:color w:val="000000"/>
          <w:sz w:val="28"/>
        </w:rPr>
        <w:t>
      14) вдовы (вдовцы), имеющие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послесреднего образования, высшего, послевузовского образования по очной форме обучения, но не более чем до достижения двадцатитрехлетнего возраста;</w:t>
      </w:r>
    </w:p>
    <w:p>
      <w:pPr>
        <w:spacing w:after="0"/>
        <w:ind w:left="0"/>
        <w:jc w:val="both"/>
      </w:pPr>
      <w:r>
        <w:rPr>
          <w:rFonts w:ascii="Times New Roman"/>
          <w:b w:val="false"/>
          <w:i w:val="false"/>
          <w:color w:val="000000"/>
          <w:sz w:val="28"/>
        </w:rPr>
        <w:t>
      15)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p>
      <w:pPr>
        <w:spacing w:after="0"/>
        <w:ind w:left="0"/>
        <w:jc w:val="both"/>
      </w:pPr>
      <w:r>
        <w:rPr>
          <w:rFonts w:ascii="Times New Roman"/>
          <w:b w:val="false"/>
          <w:i w:val="false"/>
          <w:color w:val="000000"/>
          <w:sz w:val="28"/>
        </w:rPr>
        <w:t>
      16) востребованные специалисты, осуществляющие трудовую деятельность в отрасли здравоохранения, образования, культуры, спорта, на основе анализа статистических наблюдений по статистике труда и занятости, с учетом прогноза трудовых ресурсов, формируемых согласно Приказа Министра труда и социальной защиты населения Республики Казахстан от 20 мая 2023 года № 161 "Об утверждении Правил формирования национальной системы прогнозирования трудовых ресурсов и использования ее результатов (зарегистрированного в Реестре государственной регистрации нормативных правовых актов под № 32546)".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