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0610" w14:textId="b350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постановления акимата Курчумского района от 14 мая 2021 года № 250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both"/>
      </w:pPr>
      <w:r>
        <w:rPr>
          <w:rFonts w:ascii="Times New Roman"/>
          <w:b w:val="false"/>
          <w:i w:val="false"/>
          <w:color w:val="000000"/>
          <w:sz w:val="28"/>
        </w:rPr>
        <w:t>Постановление акимата Курчумского района Восточно-Казахстанской области от 4 апреля 2022 года № 153. Зарегистрировано в Министерстве юстиции Республики Казахстан 22 апреля 2022 года № 27706</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Курчумского района Восточно-Казахстанской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Курчумского района от 14 мая 2021 года № 250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8807).</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Курчумского района Восточно-Казахстанской области"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Курчумского района Восточно-Казахстанской области после официального опубликования.</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Восточно-Казахстанской области Курчумского района Р.Д.Умутбаевой.</w:t>
      </w:r>
    </w:p>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Курчумского района  Восточно-Казахстанской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