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3347" w14:textId="7053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9 января 2023 года № 5. Зарегистрирован в Министерстве юстиции Республики Казахстан 11 января 2023 года № 31674.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16137)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обучения, утвержденную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 и 11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Расчет объема подушевого нормативного финансирования высшего и послевузовского образования и подушевого норматива финансирования для организаций высшего и (или) послевузовского образования по программам двойного диплома, реализуемых по решению Правительства Республики Казахстан, производится по следующим формулам: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Vпф – годовой объем подушевого нормативного финансирования организаций высшего и (или) послевузовского образования рассчитывается по формуле: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– подушевой норматив финансирования на одного обучающегося в год на бакалавриате;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ежегодный контингент обучающихся на бакалавриате;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>– подушевой норматив финансирования на одного обучающегося в год на бакалавриате рассчитывается по формуле: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zb</w:t>
      </w:r>
      <w:r>
        <w:rPr>
          <w:rFonts w:ascii="Times New Roman"/>
          <w:b w:val="false"/>
          <w:i w:val="false"/>
          <w:color w:val="000000"/>
          <w:sz w:val="28"/>
        </w:rPr>
        <w:t xml:space="preserve"> = Т+X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+ A+ S,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административно-управленческого персонала (далее – АУП) и профессорско-преподавательского состава (далее – ППС), задействованного в образовательном процессе, в расчете на одного обучающегося в год;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учебные расходы, предназначенные для приобретения учебно-методической литературы, организации академической мобильности лабораторных, практических, теоретических и индивидуальных занятий, обучающихся в рамках выполнения государственного общеобязательного стандарта высшего образования в расчете на одного обучающегося в год по техническим и сельскохозяйственным направлениям подготовки кадров – 19 МРП;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устанавливаемый ежегодно законом о республиканском бюджете. Для определения значений показателей, эквивалентных месячному расчетному показателю, за основу берется размер МРП, установленный на 1 января 2022 года;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норма амортизации учебных приборов и оборудования для технических и сельскохозяйственных направлений подготовки кадров составляет – 64 МРП;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 – годовой фонд оплаты труда АУП и ППС, задействованного в образовательном процессе, на одного обучающегося в год рассчитывается исходя из нижеприведенного состава персонала.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Аббревиатура, применяемая по тексту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(штатных 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на 1 работника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заработной платы на 1 работника в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 (ППС):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1291,544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350,963МРП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менеджмент, международный 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1 474,045МРП 1 263,467МРП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мидл-менеджмент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состав 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140,385МРП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годовой фонд оплаты труда АУП и ППС, задействованного в образовательном процессе на одного обучающегося в год, рассчитывается по следующей формуле: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>+ T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аупkz</w:t>
      </w:r>
      <w:r>
        <w:rPr>
          <w:rFonts w:ascii="Times New Roman"/>
          <w:b w:val="false"/>
          <w:i w:val="false"/>
          <w:color w:val="000000"/>
          <w:sz w:val="28"/>
        </w:rPr>
        <w:t>+ Т</w:t>
      </w:r>
      <w:r>
        <w:rPr>
          <w:rFonts w:ascii="Times New Roman"/>
          <w:b w:val="false"/>
          <w:i w:val="false"/>
          <w:color w:val="000000"/>
          <w:vertAlign w:val="subscript"/>
        </w:rPr>
        <w:t>ппсkz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 xml:space="preserve"> =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in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in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отечественного АУП и ППС, задействованного в образовательном процессе, на одного обучающегося в год;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- годовой фонд оплаты труда иностранного АУП и ППС, задействованного в образовательном процессе, на одного обучающегося в год;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АУП рассчитывается для отечественного (kz) и иностранного (in) в отдельности по формуле: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*12*sno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mv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(in) *mp,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годовой фонд оплаты труда ППС рассчитывается для отечественного (kz) и иностранного (in) в отдельности по формуле: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=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12*sno</w:t>
      </w:r>
      <w:r>
        <w:rPr>
          <w:rFonts w:ascii="Times New Roman"/>
          <w:b w:val="false"/>
          <w:i w:val="false"/>
          <w:color w:val="000000"/>
          <w:vertAlign w:val="subscript"/>
        </w:rPr>
        <w:t>kz(in)</w:t>
      </w:r>
      <w:r>
        <w:rPr>
          <w:rFonts w:ascii="Times New Roman"/>
          <w:b w:val="false"/>
          <w:i w:val="false"/>
          <w:color w:val="000000"/>
          <w:sz w:val="28"/>
        </w:rPr>
        <w:t>*mv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vertAlign w:val="subscript"/>
        </w:rPr>
        <w:t>kz (in)</w:t>
      </w:r>
      <w:r>
        <w:rPr>
          <w:rFonts w:ascii="Times New Roman"/>
          <w:b w:val="false"/>
          <w:i w:val="false"/>
          <w:color w:val="000000"/>
          <w:sz w:val="28"/>
        </w:rPr>
        <w:t xml:space="preserve"> * mp,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отечественного и иностранного ППС и АУП в месяц установлен: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и зарубежного АУП и ППС на основании договора между организациями высшего и (или) послевузовского образования.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заработной платы произведен в национальной валюте в эквиваленте 430 тенге за 1 доллар США по курсу Национального Банка Республики Казахстан, установленному на 15 ноября 2021 года;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отечественного персонала sno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- 1,0836;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иностранного персонала snoin-1,095;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дополнительных обязательных пенсионных взносов работодателя и отчислений в фонд обязательного медицинского страхования: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– 1,03;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1,045;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1,055;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1,065;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соотношения среднего количества обучающихся, приходящихся на одного преподавателя составляет: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преподавателя mv</w:t>
      </w:r>
      <w:r>
        <w:rPr>
          <w:rFonts w:ascii="Times New Roman"/>
          <w:b w:val="false"/>
          <w:i w:val="false"/>
          <w:color w:val="000000"/>
          <w:vertAlign w:val="subscript"/>
        </w:rPr>
        <w:t>ппсin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0,02;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преподавателя mv</w:t>
      </w:r>
      <w:r>
        <w:rPr>
          <w:rFonts w:ascii="Times New Roman"/>
          <w:b w:val="false"/>
          <w:i w:val="false"/>
          <w:color w:val="000000"/>
          <w:vertAlign w:val="subscript"/>
        </w:rPr>
        <w:t>ппсkz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0,047;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соотношения среднего количества обучающихся, приходящихся на одного работника АУП составляет: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мидл-менеджмента mv</w:t>
      </w:r>
      <w:r>
        <w:rPr>
          <w:rFonts w:ascii="Times New Roman"/>
          <w:b w:val="false"/>
          <w:i w:val="false"/>
          <w:color w:val="000000"/>
          <w:vertAlign w:val="subscript"/>
        </w:rPr>
        <w:t>аупin1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0,0033;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иностранного топ-менеджмента mv</w:t>
      </w:r>
      <w:r>
        <w:rPr>
          <w:rFonts w:ascii="Times New Roman"/>
          <w:b w:val="false"/>
          <w:i w:val="false"/>
          <w:color w:val="000000"/>
          <w:vertAlign w:val="subscript"/>
        </w:rPr>
        <w:t>аупin2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0,001;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международного менеджмента mv</w:t>
      </w:r>
      <w:r>
        <w:rPr>
          <w:rFonts w:ascii="Times New Roman"/>
          <w:b w:val="false"/>
          <w:i w:val="false"/>
          <w:color w:val="000000"/>
          <w:vertAlign w:val="subscript"/>
        </w:rPr>
        <w:t>аупin3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0,00067;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отечественного менеджмента mv</w:t>
      </w:r>
      <w:r>
        <w:rPr>
          <w:rFonts w:ascii="Times New Roman"/>
          <w:b w:val="false"/>
          <w:i w:val="false"/>
          <w:color w:val="000000"/>
          <w:vertAlign w:val="subscript"/>
        </w:rPr>
        <w:t>аупkz1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0,00067;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младшего состава АУП mv</w:t>
      </w:r>
      <w:r>
        <w:rPr>
          <w:rFonts w:ascii="Times New Roman"/>
          <w:b w:val="false"/>
          <w:i w:val="false"/>
          <w:color w:val="000000"/>
          <w:vertAlign w:val="subscript"/>
        </w:rPr>
        <w:t>аупkz2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0,031;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S – коэффициент внедрения международных образовательных программ – 102,024 МРП.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 подушевого нормативного финансирования высшего и послевузовского образования с учетом кредитной технологии обучения определяется в соответствии с подпунктами 12) и 13) пункта 9 настоящей Методики.".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