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058a" w14:textId="5fa0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января 2023 года № 6. Зарегистрирован в Министерстве юстиции Республики Казахстан 21 января 2023 года № 31745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 (зарегистрирован в Реестре государственной регистрации нормативных правовых актов за № 12426)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устанавливается согласно следующему расчету: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Scolgov &lt;InRB * 0.20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Lmocolgov &lt;Scolgov – CLLG, где: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InRB – доходы республиканского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Scolgov –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Lmocolgov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на соответствующий финансовый год;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Правительства Республики Казахстан на начало соответствующего финансового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государственным обязательствам по проектам государственно-частного партнерства, в том числе государственных концессионных обязательств, Правительства Республики Казахстан относятся виды государственной поддержки предусмотренные подпунктами 2), 3), 4), 5),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 (далее – Закон о ГЧП), а также подпунктами 2), 3), 4), 5),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 (далее – Закон о Концессиях).";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соответствующий финансовый год устанавливается согласно следующему расчету на 3 (три) летний период: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&lt; InLB * k, где: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– лимит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InLB – объем собственных доходов местного исполнительного органа c учетом трансфертов общего характера;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местных исполнительных органов областей, городов республиканского значения, столицы,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0,2 для местных исполнительных органов областей;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0,5 для местных исполнительных органов городов республиканского значения, столицы, а также для местных исполнительных органов области в случае реализации ими проекта по строительству аэропорта с пропускной способностью аэровокзала не менее 400 пассажиров/час.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при подготовке и реализации проектов по строительству линий легкорельсового транспорта применяется лимит, увеличенный на сумму превышения.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&lt; ScolLG – CLLG, где: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государственным обязательствам по проектам государственно-частного партнерства, в том числе государственных концессионных обязательств, местного исполнительного органа относятся виды государственной поддержки предусмотренные подпунктами 2), 3), 4), 5),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ГЧП, а также подпунктами 2), 3), 4), 5),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Концессиях.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предоставляет информацию о принятых и непогашенных государственных обязательствах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снижения прогнозных доходов местного исполнительного органа, которое ведет к снижению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в случае если в рамках данного лимита приняты обязательства на всю сумму, применяется утвержденный лимит принятия предыдущего года.".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