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0757" w14:textId="43c0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 регуляторных инструментов и (или) требований"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января 2023 года № 10. Зарегистрирован в Министерстве юстиции Республики Казахстан 26 января 2023 года № 31777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 регуляторных инструментов и (или) требований" (зарегистрирован в Реестре государственной регистрации нормативных правовых актов за № 12517)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 использования анализа регуляторного воздействия регуляторных инструментов и (или) требований,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Анализу регуляторного воздействия подлежат проекты документов Системы государственного планирования в Республике Казахстан, проекты нормативных правовых актов Республики Казахстан, проекты технических регламентов Евразийского экономического союза, предусматривающих введение регуляторного инструмента и (или) требований или ужесточение регулирования в отношении субъектов предпринимательства, за исключением случаев,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Кодекса.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 проведении анализа регуляторного воздействия при введении нового регуляторного инструмента и (или) требования или ужесточении регулирования в отношении субъектов предпринимательства также не распространяются на проекты законов, разработанные в порядке законодательной инициативы Президента и депутатов Парламента Республики Казахстан, а также на процесс рассмотрения проектов законов в Парламенте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законов, внесенным в порядке законодательной инициативы депутатов Парламента Республики Казахстан, а также по поправкам депутатов к проектам законов, находящимся на рассмотрении в Парламенте Республики Казахстан, может быть проведен анализ регуляторного воздействия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рамках заключения Правительства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Уполномоченный орган одновременно с размещением положительного заключения, на портале "Открытые НПА", направляет регулирующему государственному органу и в Национальную палату предпринимателей уведомление о соответствующем размещении для сведения.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предпринимательства размещает положительное заключение по актам регионального значения на официальном интернет-ресурсе органа-разработчика, а также разработанные органом-разработчиком проекты актов регионального значения, аналитическую форму органа-разработчика, и направляет уведомление о соответствующем размещении органу-разработчику и в Региональную палату предпринимателей.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положительном заключении устанавливается срок проведения анализа регуляторного воздействия, в порядке альтернативы в срок 15 (пятнадцать) рабочих дней со дня опубликования на портале "Открытые НПА".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форма по результатам анализа регуляторного воздействия, в порядке альтернативы и отчет общественных обсуждений уполномоченным органом доводятся до сведения регулирующего государственного органа, а по актам регионального значения доводятся до сведения органа-разработчика управлением предпринимательства.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Регулирующий государственный орган/ орган-разработчик в течение 3 (трех) рабочих дней направляет ответ в уполномоченный орган о согласии/несогласии с выводами анализа регуляторного воздействия в порядке альтернативы.".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