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59521" w14:textId="d9595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квалификационных требований к специализированным лабораториям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27 января 2023 года № 38. Зарегистрирован в Министерстве юстиции Республики Казахстан 30 января 2023 года № 31802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4-3)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"О племенном животноводстве"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 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квалификационные 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специализированным лабораториям.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животноводства Министерства сельского хозяйства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сельского хозяйства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Карашукеев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торговли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интеграции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января 2023 года № 38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 к специализированным лабораториям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квалификационные требования к специализированным лабораториям (далее – квалификационные требования)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4-3)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"О племенном животноводстве" и определяют квалификационные требования к специализированным лабораториям.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настоящих квалификационных требованиях используются следующие понятия: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специализированная лаборатория – аккредитованное юридическое лицо или его структурное подразделение, действующее от его имени, а также аккредитованное структурное подразделение юридического лица, осуществляющие молекулярную генетическую экспертизу;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молекулярная генетическая экспертиза – исследование биологического материала животного, осуществляемое в целях оценки достоверности его происхождения и (или) выявления генетических аномалий.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 специализированным лабораториям предъявляются следующие квалификационные требования: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наличие аттестата аккредитации, выданного органом по аккредитации, удостоверяющего компетентность специализированной лаборатории на проведение молекулярной генетической экспертизы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аккредитации в области оценки соответствия" и межгосударственным стандартом ГОСТ ISO/IEC 17025 "Общие требования к компетентности испытательных и калибровочных лабораторий";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квалифицированного состава руководителей и специалистов: в подразделениях непосредственно занятых проведением молекулярной генетической экспертизы руководителя, имеющего высшее и (или) послевузовское образование по специальностям "Биология", "Биотехнология", "Ветеринария", "Здравоохранение" с опытом практической работы по специальности не менее 3 (трех) лет, и специалистов (не менее 3 (трех) человек), имеющих высшее и (или) послевузовское образование по специальностям "Биология", "Биотехнология", "Ветеринария" и "Здравоохранение" с опытом практической работы по специальности не менее 1 (одного) года.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