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1a62" w14:textId="8941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нормативные правовые акты Республики Казахстан по вопросам страховой деятельности</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20 февраля 2023 года № 3. Зарегистрировано в Министерстве юстиции Республики Казахстан 28 февраля 2023 года № 31964</w:t>
      </w:r>
    </w:p>
    <w:p>
      <w:pPr>
        <w:spacing w:after="0"/>
        <w:ind w:left="0"/>
        <w:jc w:val="both"/>
      </w:pPr>
      <w:bookmarkStart w:name="z4" w:id="0"/>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Перечень нормативных правовых актов Республики Казахстан по вопросам страховой деятельности, в которые вносятся изменения и дополнение,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(далее – Перечень).</w:t>
      </w:r>
    </w:p>
    <w:bookmarkEnd w:id="1"/>
    <w:bookmarkStart w:name="z6" w:id="2"/>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20 февраля 2023 года № 3</w:t>
            </w:r>
          </w:p>
        </w:tc>
      </w:tr>
    </w:tbl>
    <w:bookmarkStart w:name="z18" w:id="12"/>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страховой деятельности, в которые вносятся изменения и дополнение</w:t>
      </w:r>
    </w:p>
    <w:bookmarkEnd w:id="12"/>
    <w:bookmarkStart w:name="z19" w:id="13"/>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 марта 2010 года № 28 "Об утверждении нормативных правовых актов, регулирующих организацию и осуществление деятельности по обязательному страхованию работника от несчастных случаев при исполнении им трудовых (служебных) обязанностей" (зарегистрировано в Реестре государственной регистрации нормативных правовых актов под № 6156) следующие изменения: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аннуитетных выплат по договору аннуитета и о требованиях к договору аннуитета и допустимому уровню расходов страховщика на ведение дела по заключаемым договорам аннуитета, утвержденных указанным постановлением:</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4" w:id="16"/>
    <w:p>
      <w:pPr>
        <w:spacing w:after="0"/>
        <w:ind w:left="0"/>
        <w:jc w:val="both"/>
      </w:pPr>
      <w:r>
        <w:rPr>
          <w:rFonts w:ascii="Times New Roman"/>
          <w:b w:val="false"/>
          <w:i w:val="false"/>
          <w:color w:val="000000"/>
          <w:sz w:val="28"/>
        </w:rPr>
        <w:t xml:space="preserve">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(далее – Закон) и определяют порядок расчета аннуитетных выплат по договору аннуитета и требования к договору аннуитета и допустимому уровню расходов страховщика на ведение дела по заключаемым договорам аннуитета.";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xml:space="preserve">
      "6. Страховщик при расчете фактора текущей стоимости аннуитетных выплат по договорам аннуитета использует показатели смертности, не превышающие показатели, указанные в приложениях 1, 2 к настоящим Правилам, а также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20 октября 2015 года № 194 "Об утверждении типового договора пенсионного аннуитета, установлении Методики расчета страховой премии и страховой выплаты из страховой организации по договору пенсионного аннуитета, допустимого уровня расходов страховой организации на ведение дела по заключаемым договорам пенсионного аннуитета, а также ставки индексации страховой выплаты", зарегистрированным в Реестре государственной регистрации нормативных правовых актов под № 12318 (далее – Постановление № 194).</w:t>
      </w:r>
    </w:p>
    <w:bookmarkEnd w:id="17"/>
    <w:bookmarkStart w:name="z27" w:id="18"/>
    <w:p>
      <w:pPr>
        <w:spacing w:after="0"/>
        <w:ind w:left="0"/>
        <w:jc w:val="both"/>
      </w:pPr>
      <w:r>
        <w:rPr>
          <w:rFonts w:ascii="Times New Roman"/>
          <w:b w:val="false"/>
          <w:i w:val="false"/>
          <w:color w:val="000000"/>
          <w:sz w:val="28"/>
        </w:rPr>
        <w:t xml:space="preserve">
      При расчете фактора текущей стоимости аннуитетных выплат по договорам аннуитета, заключенным в пользу пострадавшего работника, а также лиц, имеющих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940 Гражданского Кодекса Республики Казахстан право на возмещение вреда, используются следующие показатели смертности:</w:t>
      </w:r>
    </w:p>
    <w:bookmarkEnd w:id="18"/>
    <w:bookmarkStart w:name="z28" w:id="19"/>
    <w:p>
      <w:pPr>
        <w:spacing w:after="0"/>
        <w:ind w:left="0"/>
        <w:jc w:val="both"/>
      </w:pPr>
      <w:r>
        <w:rPr>
          <w:rFonts w:ascii="Times New Roman"/>
          <w:b w:val="false"/>
          <w:i w:val="false"/>
          <w:color w:val="000000"/>
          <w:sz w:val="28"/>
        </w:rPr>
        <w:t>
      1) для пострадавшего работника - указанные в приложении 1 к настоящим Правилам;</w:t>
      </w:r>
    </w:p>
    <w:bookmarkEnd w:id="19"/>
    <w:bookmarkStart w:name="z29" w:id="20"/>
    <w:p>
      <w:pPr>
        <w:spacing w:after="0"/>
        <w:ind w:left="0"/>
        <w:jc w:val="both"/>
      </w:pPr>
      <w:r>
        <w:rPr>
          <w:rFonts w:ascii="Times New Roman"/>
          <w:b w:val="false"/>
          <w:i w:val="false"/>
          <w:color w:val="000000"/>
          <w:sz w:val="28"/>
        </w:rPr>
        <w:t xml:space="preserve">
      2) для женщин старше пятидесяти восьми лет и мужчин старше шестидесяти трех лет - указанные в </w:t>
      </w:r>
      <w:r>
        <w:rPr>
          <w:rFonts w:ascii="Times New Roman"/>
          <w:b w:val="false"/>
          <w:i w:val="false"/>
          <w:color w:val="000000"/>
          <w:sz w:val="28"/>
        </w:rPr>
        <w:t>Постановлении № 194</w:t>
      </w:r>
      <w:r>
        <w:rPr>
          <w:rFonts w:ascii="Times New Roman"/>
          <w:b w:val="false"/>
          <w:i w:val="false"/>
          <w:color w:val="000000"/>
          <w:sz w:val="28"/>
        </w:rPr>
        <w:t>;</w:t>
      </w:r>
    </w:p>
    <w:bookmarkEnd w:id="20"/>
    <w:bookmarkStart w:name="z30" w:id="21"/>
    <w:p>
      <w:pPr>
        <w:spacing w:after="0"/>
        <w:ind w:left="0"/>
        <w:jc w:val="both"/>
      </w:pPr>
      <w:r>
        <w:rPr>
          <w:rFonts w:ascii="Times New Roman"/>
          <w:b w:val="false"/>
          <w:i w:val="false"/>
          <w:color w:val="000000"/>
          <w:sz w:val="28"/>
        </w:rPr>
        <w:t>
      3) для лиц с инвалидностью старше шестнадцатилетнего возраста - указанные в приложении 2 к настоящим Правилам;</w:t>
      </w:r>
    </w:p>
    <w:bookmarkEnd w:id="21"/>
    <w:bookmarkStart w:name="z31" w:id="22"/>
    <w:p>
      <w:pPr>
        <w:spacing w:after="0"/>
        <w:ind w:left="0"/>
        <w:jc w:val="both"/>
      </w:pPr>
      <w:r>
        <w:rPr>
          <w:rFonts w:ascii="Times New Roman"/>
          <w:b w:val="false"/>
          <w:i w:val="false"/>
          <w:color w:val="000000"/>
          <w:sz w:val="28"/>
        </w:rPr>
        <w:t>
      4) для лиц с инвалидностью, не достигших шестнадцатилетнего возраста, несовершеннолетних, учащихся, родителей, супруги либо другого члена семьи, занятого уходом за находившимися на иждивении детьми, внуками, братьями и сестрами умершего работника, используются показатели смертности равные нулю.".</w:t>
      </w:r>
    </w:p>
    <w:bookmarkEnd w:id="22"/>
    <w:bookmarkStart w:name="z32" w:id="23"/>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304 "Об установлении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(зарегистрировано в Реестре государственной регистрации нормативных правовых актов под № 14794) следующие изменения и дополнение: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34" w:id="24"/>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государственном регулировании</w:t>
      </w:r>
      <w:r>
        <w:rPr>
          <w:rFonts w:ascii="Times New Roman"/>
          <w:b w:val="false"/>
          <w:i w:val="false"/>
          <w:color w:val="000000"/>
          <w:sz w:val="28"/>
        </w:rPr>
        <w:t>, контроле и надзоре финансового рынка и финансовых организаций" и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4"/>
    <w:bookmarkStart w:name="z35"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 значениях</w:t>
      </w:r>
      <w:r>
        <w:rPr>
          <w:rFonts w:ascii="Times New Roman"/>
          <w:b w:val="false"/>
          <w:i w:val="false"/>
          <w:color w:val="000000"/>
          <w:sz w:val="28"/>
        </w:rPr>
        <w:t xml:space="preserve"> и методиках расчетов пруденциальных нормативов страховой (перестраховочной) организации и страховой группы и иных обязательных к соблюдению норм и лимитов, утвержденных указанным постановлением:</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7" w:id="26"/>
    <w:p>
      <w:pPr>
        <w:spacing w:after="0"/>
        <w:ind w:left="0"/>
        <w:jc w:val="both"/>
      </w:pPr>
      <w:r>
        <w:rPr>
          <w:rFonts w:ascii="Times New Roman"/>
          <w:b w:val="false"/>
          <w:i w:val="false"/>
          <w:color w:val="000000"/>
          <w:sz w:val="28"/>
        </w:rPr>
        <w:t>
      "1. Настоящие Нормативные значения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(далее - Нормативы) разработаны в соответствии с законами Республики Казахстан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w:t>
      </w:r>
      <w:r>
        <w:rPr>
          <w:rFonts w:ascii="Times New Roman"/>
          <w:b w:val="false"/>
          <w:i w:val="false"/>
          <w:color w:val="000000"/>
          <w:sz w:val="28"/>
        </w:rPr>
        <w:t>О государственном регулировании</w:t>
      </w:r>
      <w:r>
        <w:rPr>
          <w:rFonts w:ascii="Times New Roman"/>
          <w:b w:val="false"/>
          <w:i w:val="false"/>
          <w:color w:val="000000"/>
          <w:sz w:val="28"/>
        </w:rPr>
        <w:t>, контроле и надзоре финансового рынка и финансовых организаций" и устанавливают нормативные значения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w:t>
      </w:r>
    </w:p>
    <w:bookmarkEnd w:id="26"/>
    <w:bookmarkStart w:name="z38" w:id="27"/>
    <w:p>
      <w:pPr>
        <w:spacing w:after="0"/>
        <w:ind w:left="0"/>
        <w:jc w:val="both"/>
      </w:pPr>
      <w:r>
        <w:rPr>
          <w:rFonts w:ascii="Times New Roman"/>
          <w:b w:val="false"/>
          <w:i w:val="false"/>
          <w:color w:val="000000"/>
          <w:sz w:val="28"/>
        </w:rPr>
        <w:t xml:space="preserve">
      2. Нормативные значения для страховой (перестраховочной) организации и страховой группы устанавливаются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Закона и рассчитываются на основе отчетности, принимаемой Национальным Банком Республики Казахстан в соответствии со </w:t>
      </w:r>
      <w:r>
        <w:rPr>
          <w:rFonts w:ascii="Times New Roman"/>
          <w:b w:val="false"/>
          <w:i w:val="false"/>
          <w:color w:val="000000"/>
          <w:sz w:val="28"/>
        </w:rPr>
        <w:t>статьями 190</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и </w:t>
      </w:r>
      <w:r>
        <w:rPr>
          <w:rFonts w:ascii="Times New Roman"/>
          <w:b w:val="false"/>
          <w:i w:val="false"/>
          <w:color w:val="000000"/>
          <w:sz w:val="28"/>
        </w:rPr>
        <w:t>249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и </w:t>
      </w:r>
      <w:r>
        <w:rPr>
          <w:rFonts w:ascii="Times New Roman"/>
          <w:b w:val="false"/>
          <w:i w:val="false"/>
          <w:color w:val="000000"/>
          <w:sz w:val="28"/>
        </w:rPr>
        <w:t>подпунктом 65-2)</w:t>
      </w:r>
      <w:r>
        <w:rPr>
          <w:rFonts w:ascii="Times New Roman"/>
          <w:b w:val="false"/>
          <w:i w:val="false"/>
          <w:color w:val="000000"/>
          <w:sz w:val="28"/>
        </w:rPr>
        <w:t xml:space="preserve"> статьи 15 Закона Республики Казахстан "О Национальном Банке Республики Казахстан".";</w:t>
      </w:r>
    </w:p>
    <w:bookmarkEnd w:id="27"/>
    <w:bookmarkStart w:name="z39" w:id="28"/>
    <w:p>
      <w:pPr>
        <w:spacing w:after="0"/>
        <w:ind w:left="0"/>
        <w:jc w:val="both"/>
      </w:pPr>
      <w:r>
        <w:rPr>
          <w:rFonts w:ascii="Times New Roman"/>
          <w:b w:val="false"/>
          <w:i w:val="false"/>
          <w:color w:val="000000"/>
          <w:sz w:val="28"/>
        </w:rPr>
        <w:t>
      дополнить пунктом 2-1 следующего содержания:</w:t>
      </w:r>
    </w:p>
    <w:bookmarkEnd w:id="28"/>
    <w:bookmarkStart w:name="z40" w:id="29"/>
    <w:p>
      <w:pPr>
        <w:spacing w:after="0"/>
        <w:ind w:left="0"/>
        <w:jc w:val="both"/>
      </w:pPr>
      <w:r>
        <w:rPr>
          <w:rFonts w:ascii="Times New Roman"/>
          <w:b w:val="false"/>
          <w:i w:val="false"/>
          <w:color w:val="000000"/>
          <w:sz w:val="28"/>
        </w:rPr>
        <w:t xml:space="preserve">
      "Для целей расчета Нормативов страховые резервы рассчитываются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2019 года № 13 "Об утверждении Требований к формированию, методике расчета страховых резервов и их структуре", определенными нормативным правовым актом уполномоченного органа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47 Закона (далее – Требования к формированию, методике расчета страховых резервов и их структуре)";</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42" w:id="30"/>
    <w:p>
      <w:pPr>
        <w:spacing w:after="0"/>
        <w:ind w:left="0"/>
        <w:jc w:val="both"/>
      </w:pPr>
      <w:r>
        <w:rPr>
          <w:rFonts w:ascii="Times New Roman"/>
          <w:b w:val="false"/>
          <w:i w:val="false"/>
          <w:color w:val="000000"/>
          <w:sz w:val="28"/>
        </w:rPr>
        <w:t>
      "18. Расчет минимального размера маржи платежеспособности страховой (перестраховочной) организации по классам "страхование жизни" и "аннуитетное страхование" представляет собой величину, равную сумме значений, рассчитанных в соответствии с пунктами 19 и 21 Нормативов.</w:t>
      </w:r>
    </w:p>
    <w:bookmarkEnd w:id="30"/>
    <w:bookmarkStart w:name="z43" w:id="31"/>
    <w:p>
      <w:pPr>
        <w:spacing w:after="0"/>
        <w:ind w:left="0"/>
        <w:jc w:val="both"/>
      </w:pPr>
      <w:r>
        <w:rPr>
          <w:rFonts w:ascii="Times New Roman"/>
          <w:b w:val="false"/>
          <w:i w:val="false"/>
          <w:color w:val="000000"/>
          <w:sz w:val="28"/>
        </w:rPr>
        <w:t>
      19. Минимальный размер маржи платежеспособности по договорам страхования жизни на случай смерти, по которым капитал под риском не является отрицательным значением, равен сумме следующих величин:</w:t>
      </w:r>
    </w:p>
    <w:bookmarkEnd w:id="31"/>
    <w:bookmarkStart w:name="z44" w:id="32"/>
    <w:p>
      <w:pPr>
        <w:spacing w:after="0"/>
        <w:ind w:left="0"/>
        <w:jc w:val="both"/>
      </w:pPr>
      <w:r>
        <w:rPr>
          <w:rFonts w:ascii="Times New Roman"/>
          <w:b w:val="false"/>
          <w:i w:val="false"/>
          <w:color w:val="000000"/>
          <w:sz w:val="28"/>
        </w:rPr>
        <w:t>
      1) по договорам страхования жизни на случай смерти (сроком до 3 (трех) лет) - 0,1 (ноль целых одна десятая) процента от суммы капитала под риском, умноженного на поправочный коэффициент, рассчитанный как отношение капитала под риском по договорам страхования жизни на случай смерти (за минусом доли перестраховщика), к капиталу под риском. Если величина полученного в результате расчета поправочного коэффициента меньше 0,5 (ноль целых пять десятых), то для расчета принимается 0,5 (ноль целых пять десятых);</w:t>
      </w:r>
    </w:p>
    <w:bookmarkEnd w:id="32"/>
    <w:bookmarkStart w:name="z45" w:id="33"/>
    <w:p>
      <w:pPr>
        <w:spacing w:after="0"/>
        <w:ind w:left="0"/>
        <w:jc w:val="both"/>
      </w:pPr>
      <w:r>
        <w:rPr>
          <w:rFonts w:ascii="Times New Roman"/>
          <w:b w:val="false"/>
          <w:i w:val="false"/>
          <w:color w:val="000000"/>
          <w:sz w:val="28"/>
        </w:rPr>
        <w:t>
      2) по договорам страхования жизни на случай смерти (сроком от 3 (трех) до 5 (пяти) лет) - 0,15 (ноль целых пятнадцать сотых) процента от суммы капитала под риском, умноженного на поправочный коэффициент, рассчитанный как отношение капитала под риском по договорам страхования жизни на случай смерти (за минусом доли перестраховщика), к капиталу под риском. Если величина полученного в результате расчета поправочного коэффициента меньше 0,5 (ноль целых пять десятых), то для расчета принимается 0,5 (ноль целых пять десятых);</w:t>
      </w:r>
    </w:p>
    <w:bookmarkEnd w:id="33"/>
    <w:bookmarkStart w:name="z46" w:id="34"/>
    <w:p>
      <w:pPr>
        <w:spacing w:after="0"/>
        <w:ind w:left="0"/>
        <w:jc w:val="both"/>
      </w:pPr>
      <w:r>
        <w:rPr>
          <w:rFonts w:ascii="Times New Roman"/>
          <w:b w:val="false"/>
          <w:i w:val="false"/>
          <w:color w:val="000000"/>
          <w:sz w:val="28"/>
        </w:rPr>
        <w:t>
      3) по остальным договорам страхования жизни на случай смерти - 0,3 (ноль целых три десятых) процента от суммы капитала под риском, умноженного на поправочный коэффициент, рассчитанный как отношение капитала под риском по договорам страхования жизни на случай смерти (за минусом доли перестраховщика), к капиталу под риском. Если величина полученного в результате расчета поправочного коэффициента меньше 0,5 (ноль целых пять десятых), то для расчета принимается 0,5 (ноль целых пять десятых).";</w:t>
      </w:r>
    </w:p>
    <w:bookmarkEnd w:id="34"/>
    <w:bookmarkStart w:name="z47" w:id="35"/>
    <w:p>
      <w:pPr>
        <w:spacing w:after="0"/>
        <w:ind w:left="0"/>
        <w:jc w:val="both"/>
      </w:pPr>
      <w:r>
        <w:rPr>
          <w:rFonts w:ascii="Times New Roman"/>
          <w:b w:val="false"/>
          <w:i w:val="false"/>
          <w:color w:val="000000"/>
          <w:sz w:val="28"/>
        </w:rPr>
        <w:t>
      20. Капитал под риском представляет собой совокупную страховую сумму по действующим договорам страхования жизни на случай смерти на конец предыдущего финансового года, уменьшенную на сумму рассчитанных страховых резервов по ним.</w:t>
      </w:r>
    </w:p>
    <w:bookmarkEnd w:id="35"/>
    <w:bookmarkStart w:name="z48" w:id="36"/>
    <w:p>
      <w:pPr>
        <w:spacing w:after="0"/>
        <w:ind w:left="0"/>
        <w:jc w:val="both"/>
      </w:pPr>
      <w:r>
        <w:rPr>
          <w:rFonts w:ascii="Times New Roman"/>
          <w:b w:val="false"/>
          <w:i w:val="false"/>
          <w:color w:val="000000"/>
          <w:sz w:val="28"/>
        </w:rPr>
        <w:t>
      21. Минимальный размер маржи платежеспособности по остальным договорам страхования по классам "страхование жизни" и "аннуитетное страхование", равен произведению 4 (четырех) процентов от суммы рассчитанных страховых резервов и поправочного коэффициента, рассчитанного как отношение суммы сформированных страховых резервов за вычетом доли перестраховщика в страховых резервах на конец предыдущего финансового года к общей сумме сформированных страховых резервов на конец предыдущего финансового года. Если величина полученного в результате расчета поправочного коэффициента меньше 0,85 (ноль целых восемьдесят пять сотых), то для расчета принимается 0,85 (ноль целых восемьдесят пять сотых), за исключением договоров пенсионного аннуитета.</w:t>
      </w:r>
    </w:p>
    <w:bookmarkEnd w:id="36"/>
    <w:bookmarkStart w:name="z49" w:id="37"/>
    <w:p>
      <w:pPr>
        <w:spacing w:after="0"/>
        <w:ind w:left="0"/>
        <w:jc w:val="both"/>
      </w:pPr>
      <w:r>
        <w:rPr>
          <w:rFonts w:ascii="Times New Roman"/>
          <w:b w:val="false"/>
          <w:i w:val="false"/>
          <w:color w:val="000000"/>
          <w:sz w:val="28"/>
        </w:rPr>
        <w:t>
      Минимальный размер маржи платежеспособности по договорам пенсионного аннуитета, заключенным:</w:t>
      </w:r>
    </w:p>
    <w:bookmarkEnd w:id="37"/>
    <w:bookmarkStart w:name="z50" w:id="38"/>
    <w:p>
      <w:pPr>
        <w:spacing w:after="0"/>
        <w:ind w:left="0"/>
        <w:jc w:val="both"/>
      </w:pPr>
      <w:r>
        <w:rPr>
          <w:rFonts w:ascii="Times New Roman"/>
          <w:b w:val="false"/>
          <w:i w:val="false"/>
          <w:color w:val="000000"/>
          <w:sz w:val="28"/>
        </w:rPr>
        <w:t>
      1) до 1 января 2023 года, равен произведению 6 (шести) процентов от суммы рассчитанных страховых резервов и поправочного коэффициента, рассчитанного как отношение суммы сформированных страховых резервов за вычетом доли перестраховщика в страховых резервах на конец предыдущего финансового года к общей сумме сформированных страховых резервов на конец предыдущего финансового года. Если величина полученного в результате расчета поправочного коэффициента меньше 0,85 (ноль целых восемьдесят пять сотых), то для расчета принимается 0,85 (ноль целых восемьдесят пять сотых);</w:t>
      </w:r>
    </w:p>
    <w:bookmarkEnd w:id="38"/>
    <w:bookmarkStart w:name="z51" w:id="39"/>
    <w:p>
      <w:pPr>
        <w:spacing w:after="0"/>
        <w:ind w:left="0"/>
        <w:jc w:val="both"/>
      </w:pPr>
      <w:r>
        <w:rPr>
          <w:rFonts w:ascii="Times New Roman"/>
          <w:b w:val="false"/>
          <w:i w:val="false"/>
          <w:color w:val="000000"/>
          <w:sz w:val="28"/>
        </w:rPr>
        <w:t>
      2) после 1 января 2023 года, равен произведению 8 (восьми) процентов от суммы рассчитанных страховых резервов и поправочного коэффициента, рассчитанного как отношение суммы сформированных страховых резервов за вычетом доли перестраховщика в страховых резервах на конец предыдущего финансового года к общей сумме сформированных страховых резервов на конец предыдущего финансового года. Если величина полученного в результате расчета поправочного коэффициента меньше 0,85 (ноль целых восемьдесят пять сотых), то для расчета принимается 0,85 (ноль целых восемьдесят пять сотых).";</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53" w:id="40"/>
    <w:p>
      <w:pPr>
        <w:spacing w:after="0"/>
        <w:ind w:left="0"/>
        <w:jc w:val="both"/>
      </w:pPr>
      <w:r>
        <w:rPr>
          <w:rFonts w:ascii="Times New Roman"/>
          <w:b w:val="false"/>
          <w:i w:val="false"/>
          <w:color w:val="000000"/>
          <w:sz w:val="28"/>
        </w:rPr>
        <w:t>
      "33. Фактическая маржа платежеспособности, рассчитанная с учетом классификации активов по качеству и ликвидности, определяется по следующей формуле:</w:t>
      </w:r>
    </w:p>
    <w:bookmarkEnd w:id="40"/>
    <w:bookmarkStart w:name="z54" w:id="41"/>
    <w:p>
      <w:pPr>
        <w:spacing w:after="0"/>
        <w:ind w:left="0"/>
        <w:jc w:val="both"/>
      </w:pPr>
      <w:r>
        <w:rPr>
          <w:rFonts w:ascii="Times New Roman"/>
          <w:b w:val="false"/>
          <w:i w:val="false"/>
          <w:color w:val="000000"/>
          <w:sz w:val="28"/>
        </w:rPr>
        <w:t>
      ФМП = АКЛ - СР - О, где:</w:t>
      </w:r>
    </w:p>
    <w:bookmarkEnd w:id="41"/>
    <w:bookmarkStart w:name="z55" w:id="42"/>
    <w:p>
      <w:pPr>
        <w:spacing w:after="0"/>
        <w:ind w:left="0"/>
        <w:jc w:val="both"/>
      </w:pPr>
      <w:r>
        <w:rPr>
          <w:rFonts w:ascii="Times New Roman"/>
          <w:b w:val="false"/>
          <w:i w:val="false"/>
          <w:color w:val="000000"/>
          <w:sz w:val="28"/>
        </w:rPr>
        <w:t>
      АКЛ - активы с учетом их классификации по качеству и ликвидности в соответствии с пунктом 34 Нормативов;</w:t>
      </w:r>
    </w:p>
    <w:bookmarkEnd w:id="42"/>
    <w:bookmarkStart w:name="z56" w:id="43"/>
    <w:p>
      <w:pPr>
        <w:spacing w:after="0"/>
        <w:ind w:left="0"/>
        <w:jc w:val="both"/>
      </w:pPr>
      <w:r>
        <w:rPr>
          <w:rFonts w:ascii="Times New Roman"/>
          <w:b w:val="false"/>
          <w:i w:val="false"/>
          <w:color w:val="000000"/>
          <w:sz w:val="28"/>
        </w:rPr>
        <w:t>
      СР - сумма страховых резервов страховой (перестраховочной) организации за минусом доли перестраховщика на конец последнего отчетного месяца. Сумма страховых резервов используется до дня предоставления ежемесячной отчетности в соответствии с пунктом 2 Нормативов и иной отчетности в уполномоченный орган (до пятого числа месяца, следующего за отчетным месяцем, используется сумма страховых резервов за прошлый отчетный месяц);</w:t>
      </w:r>
    </w:p>
    <w:bookmarkEnd w:id="43"/>
    <w:bookmarkStart w:name="z57" w:id="44"/>
    <w:p>
      <w:pPr>
        <w:spacing w:after="0"/>
        <w:ind w:left="0"/>
        <w:jc w:val="both"/>
      </w:pPr>
      <w:r>
        <w:rPr>
          <w:rFonts w:ascii="Times New Roman"/>
          <w:b w:val="false"/>
          <w:i w:val="false"/>
          <w:color w:val="000000"/>
          <w:sz w:val="28"/>
        </w:rPr>
        <w:t>
      О - обязательства, за исключением страховых резервов.";</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59" w:id="45"/>
    <w:p>
      <w:pPr>
        <w:spacing w:after="0"/>
        <w:ind w:left="0"/>
        <w:jc w:val="both"/>
      </w:pPr>
      <w:r>
        <w:rPr>
          <w:rFonts w:ascii="Times New Roman"/>
          <w:b w:val="false"/>
          <w:i w:val="false"/>
          <w:color w:val="000000"/>
          <w:sz w:val="28"/>
        </w:rPr>
        <w:t>
      "35. Страховая (перестраховочная) организация соблюдает норматив достаточности высоколиквидных активов, рассчитываемый как отношение стоимости высоколиквидных активов к сумме страховых резервов за минусом доли перестраховщика, по формуле:</w:t>
      </w:r>
    </w:p>
    <w:bookmarkEnd w:id="45"/>
    <w:bookmarkStart w:name="z60" w:id="46"/>
    <w:p>
      <w:pPr>
        <w:spacing w:after="0"/>
        <w:ind w:left="0"/>
        <w:jc w:val="both"/>
      </w:pPr>
      <w:r>
        <w:rPr>
          <w:rFonts w:ascii="Times New Roman"/>
          <w:b w:val="false"/>
          <w:i w:val="false"/>
          <w:color w:val="000000"/>
          <w:sz w:val="28"/>
        </w:rPr>
        <w:t>
      ВА Нва = ------------- &gt; 1, где: СР</w:t>
      </w:r>
    </w:p>
    <w:bookmarkEnd w:id="46"/>
    <w:bookmarkStart w:name="z61" w:id="47"/>
    <w:p>
      <w:pPr>
        <w:spacing w:after="0"/>
        <w:ind w:left="0"/>
        <w:jc w:val="both"/>
      </w:pPr>
      <w:r>
        <w:rPr>
          <w:rFonts w:ascii="Times New Roman"/>
          <w:b w:val="false"/>
          <w:i w:val="false"/>
          <w:color w:val="000000"/>
          <w:sz w:val="28"/>
        </w:rPr>
        <w:t>
      Нва - норматив достаточности высоколиквидных активов;</w:t>
      </w:r>
    </w:p>
    <w:bookmarkEnd w:id="47"/>
    <w:bookmarkStart w:name="z62" w:id="48"/>
    <w:p>
      <w:pPr>
        <w:spacing w:after="0"/>
        <w:ind w:left="0"/>
        <w:jc w:val="both"/>
      </w:pPr>
      <w:r>
        <w:rPr>
          <w:rFonts w:ascii="Times New Roman"/>
          <w:b w:val="false"/>
          <w:i w:val="false"/>
          <w:color w:val="000000"/>
          <w:sz w:val="28"/>
        </w:rPr>
        <w:t>
      ВА - стоимость высоколиквидных активов, указанных в пункте 38 Нормативов (за вычетом обязательств по операциям РЕПО);</w:t>
      </w:r>
    </w:p>
    <w:bookmarkEnd w:id="48"/>
    <w:bookmarkStart w:name="z63" w:id="49"/>
    <w:p>
      <w:pPr>
        <w:spacing w:after="0"/>
        <w:ind w:left="0"/>
        <w:jc w:val="both"/>
      </w:pPr>
      <w:r>
        <w:rPr>
          <w:rFonts w:ascii="Times New Roman"/>
          <w:b w:val="false"/>
          <w:i w:val="false"/>
          <w:color w:val="000000"/>
          <w:sz w:val="28"/>
        </w:rPr>
        <w:t>
      СР - сумма страховых резервов страховой (перестраховочной) организации, за минусом доли перестраховщика на конец последнего отчетного месяца. Сумма страховых резервов используется до дня предоставления ежемесячной отчетности в соответствии с пунктом 2 Нормативов и иной отчетности в уполномоченный орган (до пятого числа месяца, следующего за отчетным месяцем, используется сумма страховых резервов за прошлый отчетный месяц).</w:t>
      </w:r>
    </w:p>
    <w:bookmarkEnd w:id="49"/>
    <w:bookmarkStart w:name="z64" w:id="50"/>
    <w:p>
      <w:pPr>
        <w:spacing w:after="0"/>
        <w:ind w:left="0"/>
        <w:jc w:val="both"/>
      </w:pPr>
      <w:r>
        <w:rPr>
          <w:rFonts w:ascii="Times New Roman"/>
          <w:b w:val="false"/>
          <w:i w:val="false"/>
          <w:color w:val="000000"/>
          <w:sz w:val="28"/>
        </w:rPr>
        <w:t>
      Норматив достаточности высоколиквидных активов должен быть не менее 1 (единицы).";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66" w:id="51"/>
    <w:p>
      <w:pPr>
        <w:spacing w:after="0"/>
        <w:ind w:left="0"/>
        <w:jc w:val="both"/>
      </w:pPr>
      <w:r>
        <w:rPr>
          <w:rFonts w:ascii="Times New Roman"/>
          <w:b w:val="false"/>
          <w:i w:val="false"/>
          <w:color w:val="000000"/>
          <w:sz w:val="28"/>
        </w:rPr>
        <w:t>
      "42. Страховая (перестраховочная) организация соблюдает следующие нормативы диверсификации активов:</w:t>
      </w:r>
    </w:p>
    <w:bookmarkEnd w:id="51"/>
    <w:bookmarkStart w:name="z67" w:id="52"/>
    <w:p>
      <w:pPr>
        <w:spacing w:after="0"/>
        <w:ind w:left="0"/>
        <w:jc w:val="both"/>
      </w:pPr>
      <w:r>
        <w:rPr>
          <w:rFonts w:ascii="Times New Roman"/>
          <w:b w:val="false"/>
          <w:i w:val="false"/>
          <w:color w:val="000000"/>
          <w:sz w:val="28"/>
        </w:rPr>
        <w:t>
      1) суммарная балансовая стоимость инвестиций в ценные бумаги (с учетом операций "обратное РЕПО"), вклады и деньги которых в одном банке второго уровня, имеющем долгосрочный кредитный рейтинг не ниже "ВВ-" по международной шкале агентства Standard &amp; Poor's (Стандард энд Пурс) или рейтинг аналогичного уровня одного из других рейтинговых агентств, или являющемся дочерним банком-резидентом Республики Казахстан, родительский банк-нерезидент Республики Казахстан которого имеет долгосрочный кредитный рейтинг в иностранной валюте не ниже "А-" агентства Standard &amp; Poor's (Стандард энд Пурс) или рейтинг аналогичного уровня одного из других рейтинговых агентств, и аффилированных лицах данного банка, Банке Развития Казахстана, составляет:</w:t>
      </w:r>
    </w:p>
    <w:bookmarkEnd w:id="52"/>
    <w:bookmarkStart w:name="z68" w:id="53"/>
    <w:p>
      <w:pPr>
        <w:spacing w:after="0"/>
        <w:ind w:left="0"/>
        <w:jc w:val="both"/>
      </w:pPr>
      <w:r>
        <w:rPr>
          <w:rFonts w:ascii="Times New Roman"/>
          <w:b w:val="false"/>
          <w:i w:val="false"/>
          <w:color w:val="000000"/>
          <w:sz w:val="28"/>
        </w:rPr>
        <w:t>
      с 1 января 2023 года - не более 30 (тридцати) процентов от суммы общих страховых резервов;</w:t>
      </w:r>
    </w:p>
    <w:bookmarkEnd w:id="53"/>
    <w:bookmarkStart w:name="z69" w:id="54"/>
    <w:p>
      <w:pPr>
        <w:spacing w:after="0"/>
        <w:ind w:left="0"/>
        <w:jc w:val="both"/>
      </w:pPr>
      <w:r>
        <w:rPr>
          <w:rFonts w:ascii="Times New Roman"/>
          <w:b w:val="false"/>
          <w:i w:val="false"/>
          <w:color w:val="000000"/>
          <w:sz w:val="28"/>
        </w:rPr>
        <w:t>
      с 1 января 2024 года - не более 20 (двадцати) процентов от суммы общих страховых резервов;</w:t>
      </w:r>
    </w:p>
    <w:bookmarkEnd w:id="54"/>
    <w:bookmarkStart w:name="z70" w:id="55"/>
    <w:p>
      <w:pPr>
        <w:spacing w:after="0"/>
        <w:ind w:left="0"/>
        <w:jc w:val="both"/>
      </w:pPr>
      <w:r>
        <w:rPr>
          <w:rFonts w:ascii="Times New Roman"/>
          <w:b w:val="false"/>
          <w:i w:val="false"/>
          <w:color w:val="000000"/>
          <w:sz w:val="28"/>
        </w:rPr>
        <w:t>
      2) суммарная балансовая стоимость инвестиций в ценные бумаги (с учетом операций "обратное РЕПО"), вклады и деньги в одном банке второго уровня, имеющем долгосрочный кредитный рейтинг от "В" до "В+" по международной шкале агентства Standard &amp; Poor's (Стандард энд Пурс) или рейтинг аналогичного уровня одного из других рейтинговых агентств, и аффилированных лицах данного банка составляет:</w:t>
      </w:r>
    </w:p>
    <w:bookmarkEnd w:id="55"/>
    <w:bookmarkStart w:name="z71" w:id="56"/>
    <w:p>
      <w:pPr>
        <w:spacing w:after="0"/>
        <w:ind w:left="0"/>
        <w:jc w:val="both"/>
      </w:pPr>
      <w:r>
        <w:rPr>
          <w:rFonts w:ascii="Times New Roman"/>
          <w:b w:val="false"/>
          <w:i w:val="false"/>
          <w:color w:val="000000"/>
          <w:sz w:val="28"/>
        </w:rPr>
        <w:t>
      с 1 января 2023 года - не более 20 (двадцати) процентов от суммы общих страховых резервов;</w:t>
      </w:r>
    </w:p>
    <w:bookmarkEnd w:id="56"/>
    <w:bookmarkStart w:name="z72" w:id="57"/>
    <w:p>
      <w:pPr>
        <w:spacing w:after="0"/>
        <w:ind w:left="0"/>
        <w:jc w:val="both"/>
      </w:pPr>
      <w:r>
        <w:rPr>
          <w:rFonts w:ascii="Times New Roman"/>
          <w:b w:val="false"/>
          <w:i w:val="false"/>
          <w:color w:val="000000"/>
          <w:sz w:val="28"/>
        </w:rPr>
        <w:t>
      с 1 января 2024 года - не более 15 (пятнадцати) процентов от суммы общих страховых резервов;</w:t>
      </w:r>
    </w:p>
    <w:bookmarkEnd w:id="57"/>
    <w:bookmarkStart w:name="z73" w:id="58"/>
    <w:p>
      <w:pPr>
        <w:spacing w:after="0"/>
        <w:ind w:left="0"/>
        <w:jc w:val="both"/>
      </w:pPr>
      <w:r>
        <w:rPr>
          <w:rFonts w:ascii="Times New Roman"/>
          <w:b w:val="false"/>
          <w:i w:val="false"/>
          <w:color w:val="000000"/>
          <w:sz w:val="28"/>
        </w:rPr>
        <w:t>
      3) суммарная балансовая стоимость инвестиций в ценные бумаги (с учетом операций "обратное РЕПО"), вклады и деньги в одном банке второго уровня, имеющем долгосрочный кредитный рейтинг "В-" по международной шкале агентства Standard &amp; Poor's (Стандард энд Пурс) или рейтинг аналогичного уровня одного из других рейтинговых агентств, и аффилированных лицах данного банка составляет:</w:t>
      </w:r>
    </w:p>
    <w:bookmarkEnd w:id="58"/>
    <w:bookmarkStart w:name="z74" w:id="59"/>
    <w:p>
      <w:pPr>
        <w:spacing w:after="0"/>
        <w:ind w:left="0"/>
        <w:jc w:val="both"/>
      </w:pPr>
      <w:r>
        <w:rPr>
          <w:rFonts w:ascii="Times New Roman"/>
          <w:b w:val="false"/>
          <w:i w:val="false"/>
          <w:color w:val="000000"/>
          <w:sz w:val="28"/>
        </w:rPr>
        <w:t>
      с 1 января 2023 года - не более 20 (двадцати) процентов от суммы общих страховых резервов;</w:t>
      </w:r>
    </w:p>
    <w:bookmarkEnd w:id="59"/>
    <w:bookmarkStart w:name="z75" w:id="60"/>
    <w:p>
      <w:pPr>
        <w:spacing w:after="0"/>
        <w:ind w:left="0"/>
        <w:jc w:val="both"/>
      </w:pPr>
      <w:r>
        <w:rPr>
          <w:rFonts w:ascii="Times New Roman"/>
          <w:b w:val="false"/>
          <w:i w:val="false"/>
          <w:color w:val="000000"/>
          <w:sz w:val="28"/>
        </w:rPr>
        <w:t>
      с 1 января 2024 года - не более 10 (десяти) процентов от суммы общих страховых резервов;</w:t>
      </w:r>
    </w:p>
    <w:bookmarkEnd w:id="60"/>
    <w:bookmarkStart w:name="z76" w:id="61"/>
    <w:p>
      <w:pPr>
        <w:spacing w:after="0"/>
        <w:ind w:left="0"/>
        <w:jc w:val="both"/>
      </w:pPr>
      <w:r>
        <w:rPr>
          <w:rFonts w:ascii="Times New Roman"/>
          <w:b w:val="false"/>
          <w:i w:val="false"/>
          <w:color w:val="000000"/>
          <w:sz w:val="28"/>
        </w:rPr>
        <w:t>
      4) суммарная балансовая стоимость инвестиций в ценные бумаги (с учетом операций "обратное РЕПО") и деньги в одном юридическом лице, не являющимся банком второго уровня, за исключением Банка развития Казахстана, и аффилированных лицах данного юридического лица составляет:</w:t>
      </w:r>
    </w:p>
    <w:bookmarkEnd w:id="61"/>
    <w:bookmarkStart w:name="z77" w:id="62"/>
    <w:p>
      <w:pPr>
        <w:spacing w:after="0"/>
        <w:ind w:left="0"/>
        <w:jc w:val="both"/>
      </w:pPr>
      <w:r>
        <w:rPr>
          <w:rFonts w:ascii="Times New Roman"/>
          <w:b w:val="false"/>
          <w:i w:val="false"/>
          <w:color w:val="000000"/>
          <w:sz w:val="28"/>
        </w:rPr>
        <w:t>
      с 1 января 2023 года - не более 20 (двадцати) процентов от суммы общих страховых резервов;</w:t>
      </w:r>
    </w:p>
    <w:bookmarkEnd w:id="62"/>
    <w:bookmarkStart w:name="z78" w:id="63"/>
    <w:p>
      <w:pPr>
        <w:spacing w:after="0"/>
        <w:ind w:left="0"/>
        <w:jc w:val="both"/>
      </w:pPr>
      <w:r>
        <w:rPr>
          <w:rFonts w:ascii="Times New Roman"/>
          <w:b w:val="false"/>
          <w:i w:val="false"/>
          <w:color w:val="000000"/>
          <w:sz w:val="28"/>
        </w:rPr>
        <w:t>
      с 1 января 2024 года - не более 10 (десяти) процентов от суммы общих страховых резервов;</w:t>
      </w:r>
    </w:p>
    <w:bookmarkEnd w:id="63"/>
    <w:bookmarkStart w:name="z79" w:id="64"/>
    <w:p>
      <w:pPr>
        <w:spacing w:after="0"/>
        <w:ind w:left="0"/>
        <w:jc w:val="both"/>
      </w:pPr>
      <w:r>
        <w:rPr>
          <w:rFonts w:ascii="Times New Roman"/>
          <w:b w:val="false"/>
          <w:i w:val="false"/>
          <w:color w:val="000000"/>
          <w:sz w:val="28"/>
        </w:rPr>
        <w:t>
      5) суммарное размещение в аффинированные драгоценные металлы и металлические счета составляет не более 10 (десяти) процентов от суммы общих страховых резервов;</w:t>
      </w:r>
    </w:p>
    <w:bookmarkEnd w:id="64"/>
    <w:bookmarkStart w:name="z80" w:id="65"/>
    <w:p>
      <w:pPr>
        <w:spacing w:after="0"/>
        <w:ind w:left="0"/>
        <w:jc w:val="both"/>
      </w:pPr>
      <w:r>
        <w:rPr>
          <w:rFonts w:ascii="Times New Roman"/>
          <w:b w:val="false"/>
          <w:i w:val="false"/>
          <w:color w:val="000000"/>
          <w:sz w:val="28"/>
        </w:rPr>
        <w:t>
      6) суммарный размер займов страхователям страховой (перестраховочной) организации, осуществляющей деятельность по отрасли "страхование жизни" составляет не более 10 (десяти) процентов от суммы общих страховых резервов;</w:t>
      </w:r>
    </w:p>
    <w:bookmarkEnd w:id="65"/>
    <w:bookmarkStart w:name="z81" w:id="66"/>
    <w:p>
      <w:pPr>
        <w:spacing w:after="0"/>
        <w:ind w:left="0"/>
        <w:jc w:val="both"/>
      </w:pPr>
      <w:r>
        <w:rPr>
          <w:rFonts w:ascii="Times New Roman"/>
          <w:b w:val="false"/>
          <w:i w:val="false"/>
          <w:color w:val="000000"/>
          <w:sz w:val="28"/>
        </w:rPr>
        <w:t>
      7) суммарная балансовая стоимость инвестиций в ценные бумаги (с учетом операций "обратное РЕПО"), имеющие статус государственных, выпущенные центральным правительством иностранного государства, имеющего рейтинг не ниже "A-" по международной шкале рейтингового агентства Standard &amp; Poor's (Стан-дард энд Пурс) или рейтинг аналогичного уровня одного из других рейтинговых агентств - не более 10 (десяти) процентов от суммы общих страховых резервов;</w:t>
      </w:r>
    </w:p>
    <w:bookmarkEnd w:id="66"/>
    <w:bookmarkStart w:name="z82" w:id="67"/>
    <w:p>
      <w:pPr>
        <w:spacing w:after="0"/>
        <w:ind w:left="0"/>
        <w:jc w:val="both"/>
      </w:pPr>
      <w:r>
        <w:rPr>
          <w:rFonts w:ascii="Times New Roman"/>
          <w:b w:val="false"/>
          <w:i w:val="false"/>
          <w:color w:val="000000"/>
          <w:sz w:val="28"/>
        </w:rPr>
        <w:t>
      8) суммарная балансовая стоимость инвестиций в ценные бумаги (с учетом операций "обратное РЕПО"), имеющие статус государственных, выпущенные центральным правительством иностранного государства, имеющего рейтинг ниже "A-" по международной шкале рейтингового агентства Standard &amp; Poor's (Стандард энд Пурс) или рейтинг аналогичного уровня одного из других рейтинговых агентств - не более 5 (пяти) процентов от суммы общих страховых резервов;</w:t>
      </w:r>
    </w:p>
    <w:bookmarkEnd w:id="67"/>
    <w:bookmarkStart w:name="z83" w:id="68"/>
    <w:p>
      <w:pPr>
        <w:spacing w:after="0"/>
        <w:ind w:left="0"/>
        <w:jc w:val="both"/>
      </w:pPr>
      <w:r>
        <w:rPr>
          <w:rFonts w:ascii="Times New Roman"/>
          <w:b w:val="false"/>
          <w:i w:val="false"/>
          <w:color w:val="000000"/>
          <w:sz w:val="28"/>
        </w:rPr>
        <w:t>
      9) суммарная балансовая стоимость инвестиций в ценные бумаги (с учетом операций "обратное РЕПО") международной финансовой организации, которая входит в перечень, установленный пунктом 39 Нормативов, составляет:</w:t>
      </w:r>
    </w:p>
    <w:bookmarkEnd w:id="68"/>
    <w:bookmarkStart w:name="z84" w:id="69"/>
    <w:p>
      <w:pPr>
        <w:spacing w:after="0"/>
        <w:ind w:left="0"/>
        <w:jc w:val="both"/>
      </w:pPr>
      <w:r>
        <w:rPr>
          <w:rFonts w:ascii="Times New Roman"/>
          <w:b w:val="false"/>
          <w:i w:val="false"/>
          <w:color w:val="000000"/>
          <w:sz w:val="28"/>
        </w:rPr>
        <w:t>
      с 1 января 2023 года - не более 20 (двадцати) процентов от суммы общих страховых резервов;</w:t>
      </w:r>
    </w:p>
    <w:bookmarkEnd w:id="69"/>
    <w:bookmarkStart w:name="z85" w:id="70"/>
    <w:p>
      <w:pPr>
        <w:spacing w:after="0"/>
        <w:ind w:left="0"/>
        <w:jc w:val="both"/>
      </w:pPr>
      <w:r>
        <w:rPr>
          <w:rFonts w:ascii="Times New Roman"/>
          <w:b w:val="false"/>
          <w:i w:val="false"/>
          <w:color w:val="000000"/>
          <w:sz w:val="28"/>
        </w:rPr>
        <w:t>
      с 1 января 2024 года - не более 10 (десяти) процентов от суммы общих страховых резервов;</w:t>
      </w:r>
    </w:p>
    <w:bookmarkEnd w:id="70"/>
    <w:bookmarkStart w:name="z86" w:id="71"/>
    <w:p>
      <w:pPr>
        <w:spacing w:after="0"/>
        <w:ind w:left="0"/>
        <w:jc w:val="both"/>
      </w:pPr>
      <w:r>
        <w:rPr>
          <w:rFonts w:ascii="Times New Roman"/>
          <w:b w:val="false"/>
          <w:i w:val="false"/>
          <w:color w:val="000000"/>
          <w:sz w:val="28"/>
        </w:rPr>
        <w:t>
      10) суммарная балансовая стоимость инвестиций в паи, соответствующие требованиям подпунктов 23) и 24) пункта 38 Нормативов, за вычетом резерва под обесценение составляет не более 10 (десяти) процентов от суммы общих страховых резервов;</w:t>
      </w:r>
    </w:p>
    <w:bookmarkEnd w:id="71"/>
    <w:bookmarkStart w:name="z87" w:id="72"/>
    <w:p>
      <w:pPr>
        <w:spacing w:after="0"/>
        <w:ind w:left="0"/>
        <w:jc w:val="both"/>
      </w:pPr>
      <w:r>
        <w:rPr>
          <w:rFonts w:ascii="Times New Roman"/>
          <w:b w:val="false"/>
          <w:i w:val="false"/>
          <w:color w:val="000000"/>
          <w:sz w:val="28"/>
        </w:rPr>
        <w:t>
      11) суммарная балансовая стоимость инвестиций в паи открытых и интервальных паевых инвестиционных фондов, за вычетом резерва под обесценение составляет не более 10 (десяти) процентов от суммы общих страховых резервов;</w:t>
      </w:r>
    </w:p>
    <w:bookmarkEnd w:id="72"/>
    <w:bookmarkStart w:name="z88" w:id="73"/>
    <w:p>
      <w:pPr>
        <w:spacing w:after="0"/>
        <w:ind w:left="0"/>
        <w:jc w:val="both"/>
      </w:pPr>
      <w:r>
        <w:rPr>
          <w:rFonts w:ascii="Times New Roman"/>
          <w:b w:val="false"/>
          <w:i w:val="false"/>
          <w:color w:val="000000"/>
          <w:sz w:val="28"/>
        </w:rPr>
        <w:t>
      12) суммарная балансовая стоимость инвестиций в долговые ценные бумаги, выпущенные местными исполнительными органами Республики Казахстан, с учетом сумм основного долга и начисленного вознаграждения, за вычетом резерва под обесценение составляет не более 10 (десяти) процентов от суммы общих страховых резервов;</w:t>
      </w:r>
    </w:p>
    <w:bookmarkEnd w:id="73"/>
    <w:bookmarkStart w:name="z89" w:id="74"/>
    <w:p>
      <w:pPr>
        <w:spacing w:after="0"/>
        <w:ind w:left="0"/>
        <w:jc w:val="both"/>
      </w:pPr>
      <w:r>
        <w:rPr>
          <w:rFonts w:ascii="Times New Roman"/>
          <w:b w:val="false"/>
          <w:i w:val="false"/>
          <w:color w:val="000000"/>
          <w:sz w:val="28"/>
        </w:rPr>
        <w:t>
      13) суммарная балансовая стоимость инвестиций в инструменты исламского финансирования, соответствующие требованиям подпунктов 25) и 26) пункта 38 Нормативов, за вычетом резерва под обесценение составляет не более 10 (десяти) процентов от суммы общих страховых резервов.</w:t>
      </w:r>
    </w:p>
    <w:bookmarkEnd w:id="74"/>
    <w:bookmarkStart w:name="z90" w:id="75"/>
    <w:p>
      <w:pPr>
        <w:spacing w:after="0"/>
        <w:ind w:left="0"/>
        <w:jc w:val="both"/>
      </w:pPr>
      <w:r>
        <w:rPr>
          <w:rFonts w:ascii="Times New Roman"/>
          <w:b w:val="false"/>
          <w:i w:val="false"/>
          <w:color w:val="000000"/>
          <w:sz w:val="28"/>
        </w:rPr>
        <w:t>
      Инвестиции страховой (перестраховочной) организации в долговые ценные бумаги не превышают 25 (двадцати пяти) процентов от общего объема облигаций одной эмиссии банка второго уровня Республики Казахстан.</w:t>
      </w:r>
    </w:p>
    <w:bookmarkEnd w:id="75"/>
    <w:bookmarkStart w:name="z91" w:id="76"/>
    <w:p>
      <w:pPr>
        <w:spacing w:after="0"/>
        <w:ind w:left="0"/>
        <w:jc w:val="both"/>
      </w:pPr>
      <w:r>
        <w:rPr>
          <w:rFonts w:ascii="Times New Roman"/>
          <w:b w:val="false"/>
          <w:i w:val="false"/>
          <w:color w:val="000000"/>
          <w:sz w:val="28"/>
        </w:rPr>
        <w:t>
      При расчете нормативов диверсификации активов, указанных в подпунктах 1), 2) и 3) настоящего пункта, суммарное размещение в активы банка второго уровня и его аффилированных лиц отражается в одном из нормативов в зависимости от наибольшего допустимого лимита размещения активов в данной группе аффилированных лиц.";</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bookmarkStart w:name="z93" w:id="77"/>
    <w:p>
      <w:pPr>
        <w:spacing w:after="0"/>
        <w:ind w:left="0"/>
        <w:jc w:val="both"/>
      </w:pPr>
      <w:r>
        <w:rPr>
          <w:rFonts w:ascii="Times New Roman"/>
          <w:b w:val="false"/>
          <w:i w:val="false"/>
          <w:color w:val="000000"/>
          <w:sz w:val="28"/>
        </w:rPr>
        <w:t>
      "49. РНР рассчитывается ежемесячно в случае одновременного соблюдения следующих условий:</w:t>
      </w:r>
    </w:p>
    <w:bookmarkEnd w:id="77"/>
    <w:bookmarkStart w:name="z94" w:id="78"/>
    <w:p>
      <w:pPr>
        <w:spacing w:after="0"/>
        <w:ind w:left="0"/>
        <w:jc w:val="both"/>
      </w:pPr>
      <w:r>
        <w:rPr>
          <w:rFonts w:ascii="Times New Roman"/>
          <w:b w:val="false"/>
          <w:i w:val="false"/>
          <w:color w:val="000000"/>
          <w:sz w:val="28"/>
        </w:rPr>
        <w:t>
      отношение суммы чистых страховых выплат, расходов по урегулированию страховых убытков и изменения резерва убытков (без учета доли перестраховщика) к разнице между чистыми страховыми премиями и изменениями РНП (без учета доли перестраховщика) превышает 105 (сто пять) процентов по классу страхования;</w:t>
      </w:r>
    </w:p>
    <w:bookmarkEnd w:id="78"/>
    <w:bookmarkStart w:name="z95" w:id="79"/>
    <w:p>
      <w:pPr>
        <w:spacing w:after="0"/>
        <w:ind w:left="0"/>
        <w:jc w:val="both"/>
      </w:pPr>
      <w:r>
        <w:rPr>
          <w:rFonts w:ascii="Times New Roman"/>
          <w:b w:val="false"/>
          <w:i w:val="false"/>
          <w:color w:val="000000"/>
          <w:sz w:val="28"/>
        </w:rPr>
        <w:t>
      объем чистых страховых премий по действующим договорам страхования по классу страхования составляет не менее 5 (пяти) процентов от общего объема чистых страховых премий по действующим договорам страхования на отчетную дату.</w:t>
      </w:r>
    </w:p>
    <w:bookmarkEnd w:id="79"/>
    <w:bookmarkStart w:name="z96" w:id="80"/>
    <w:p>
      <w:pPr>
        <w:spacing w:after="0"/>
        <w:ind w:left="0"/>
        <w:jc w:val="both"/>
      </w:pPr>
      <w:r>
        <w:rPr>
          <w:rFonts w:ascii="Times New Roman"/>
          <w:b w:val="false"/>
          <w:i w:val="false"/>
          <w:color w:val="000000"/>
          <w:sz w:val="28"/>
        </w:rPr>
        <w:t>
      РНР рассчитывается следующим образом:</w:t>
      </w:r>
    </w:p>
    <w:bookmarkEnd w:id="80"/>
    <w:bookmarkStart w:name="z97"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321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131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82"/>
    <w:p>
      <w:pPr>
        <w:spacing w:after="0"/>
        <w:ind w:left="0"/>
        <w:jc w:val="both"/>
      </w:pPr>
      <w:r>
        <w:rPr>
          <w:rFonts w:ascii="Times New Roman"/>
          <w:b w:val="false"/>
          <w:i w:val="false"/>
          <w:color w:val="000000"/>
          <w:sz w:val="28"/>
        </w:rPr>
        <w:t>
      , где:</w:t>
      </w:r>
    </w:p>
    <w:bookmarkEnd w:id="82"/>
    <w:bookmarkStart w:name="z99" w:id="83"/>
    <w:p>
      <w:pPr>
        <w:spacing w:after="0"/>
        <w:ind w:left="0"/>
        <w:jc w:val="both"/>
      </w:pPr>
      <w:r>
        <w:rPr>
          <w:rFonts w:ascii="Times New Roman"/>
          <w:b w:val="false"/>
          <w:i w:val="false"/>
          <w:color w:val="000000"/>
          <w:sz w:val="28"/>
        </w:rPr>
        <w:t>
      РНР - резерв непредвиденных рисков;</w:t>
      </w:r>
    </w:p>
    <w:bookmarkEnd w:id="83"/>
    <w:bookmarkStart w:name="z100" w:id="84"/>
    <w:p>
      <w:pPr>
        <w:spacing w:after="0"/>
        <w:ind w:left="0"/>
        <w:jc w:val="both"/>
      </w:pPr>
      <w:r>
        <w:rPr>
          <w:rFonts w:ascii="Times New Roman"/>
          <w:b w:val="false"/>
          <w:i w:val="false"/>
          <w:color w:val="000000"/>
          <w:sz w:val="28"/>
        </w:rPr>
        <w:t>
      В - чистые страховые выплаты;</w:t>
      </w:r>
    </w:p>
    <w:bookmarkEnd w:id="84"/>
    <w:bookmarkStart w:name="z101" w:id="85"/>
    <w:p>
      <w:pPr>
        <w:spacing w:after="0"/>
        <w:ind w:left="0"/>
        <w:jc w:val="both"/>
      </w:pPr>
      <w:r>
        <w:rPr>
          <w:rFonts w:ascii="Times New Roman"/>
          <w:b w:val="false"/>
          <w:i w:val="false"/>
          <w:color w:val="000000"/>
          <w:sz w:val="28"/>
        </w:rPr>
        <w:t>
      Р - расходы по урегулированию страховых убытков;</w:t>
      </w:r>
    </w:p>
    <w:bookmarkEnd w:id="85"/>
    <w:bookmarkStart w:name="z102" w:id="86"/>
    <w:p>
      <w:pPr>
        <w:spacing w:after="0"/>
        <w:ind w:left="0"/>
        <w:jc w:val="both"/>
      </w:pPr>
      <w:r>
        <w:rPr>
          <w:rFonts w:ascii="Times New Roman"/>
          <w:b w:val="false"/>
          <w:i w:val="false"/>
          <w:color w:val="000000"/>
          <w:sz w:val="28"/>
        </w:rPr>
        <w:t>
      РУ - изменение резервов убытков (без учета доли перестраховщика);</w:t>
      </w:r>
    </w:p>
    <w:bookmarkEnd w:id="86"/>
    <w:bookmarkStart w:name="z103" w:id="87"/>
    <w:p>
      <w:pPr>
        <w:spacing w:after="0"/>
        <w:ind w:left="0"/>
        <w:jc w:val="both"/>
      </w:pPr>
      <w:r>
        <w:rPr>
          <w:rFonts w:ascii="Times New Roman"/>
          <w:b w:val="false"/>
          <w:i w:val="false"/>
          <w:color w:val="000000"/>
          <w:sz w:val="28"/>
        </w:rPr>
        <w:t>
      ЧП – страховые премии к получению, за вычетом страховых премий, переданных на перестрахование;</w:t>
      </w:r>
    </w:p>
    <w:bookmarkEnd w:id="87"/>
    <w:bookmarkStart w:name="z104" w:id="88"/>
    <w:p>
      <w:pPr>
        <w:spacing w:after="0"/>
        <w:ind w:left="0"/>
        <w:jc w:val="both"/>
      </w:pPr>
      <w:r>
        <w:rPr>
          <w:rFonts w:ascii="Times New Roman"/>
          <w:b w:val="false"/>
          <w:i w:val="false"/>
          <w:color w:val="000000"/>
          <w:sz w:val="28"/>
        </w:rPr>
        <w:t>
      РНП - изменение РНП без учета доли перестраховщика;</w:t>
      </w:r>
    </w:p>
    <w:bookmarkEnd w:id="88"/>
    <w:bookmarkStart w:name="z105" w:id="89"/>
    <w:p>
      <w:pPr>
        <w:spacing w:after="0"/>
        <w:ind w:left="0"/>
        <w:jc w:val="both"/>
      </w:pPr>
      <w:r>
        <w:rPr>
          <w:rFonts w:ascii="Times New Roman"/>
          <w:b w:val="false"/>
          <w:i w:val="false"/>
          <w:color w:val="000000"/>
          <w:sz w:val="28"/>
        </w:rPr>
        <w:t>
      РНП - РНП без учета доли перестраховщика на дату расчета.</w:t>
      </w:r>
    </w:p>
    <w:bookmarkEnd w:id="89"/>
    <w:bookmarkStart w:name="z106" w:id="90"/>
    <w:p>
      <w:pPr>
        <w:spacing w:after="0"/>
        <w:ind w:left="0"/>
        <w:jc w:val="both"/>
      </w:pPr>
      <w:r>
        <w:rPr>
          <w:rFonts w:ascii="Times New Roman"/>
          <w:b w:val="false"/>
          <w:i w:val="false"/>
          <w:color w:val="000000"/>
          <w:sz w:val="28"/>
        </w:rPr>
        <w:t>
      Параметры В, Р, РУ, ЧП, РНП рассчитываются за последние 12 (двенадцать) месяцев, предшествующих отчетной дате.";</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108" w:id="91"/>
    <w:p>
      <w:pPr>
        <w:spacing w:after="0"/>
        <w:ind w:left="0"/>
        <w:jc w:val="both"/>
      </w:pPr>
      <w:r>
        <w:rPr>
          <w:rFonts w:ascii="Times New Roman"/>
          <w:b w:val="false"/>
          <w:i w:val="false"/>
          <w:color w:val="000000"/>
          <w:sz w:val="28"/>
        </w:rPr>
        <w:t>
      "53. Стабилизационный резерв по классу страхования определяется в размере стабилизационного резерва на начало отчетного периода за минусом суммы чистых заработанных страховых премий за отчетный период, умноженной на коэффициент убыточности за отчетный период, без учета доли перестраховщика на отчетную дату, уменьшенный на среднее значение коэффициента убыточности за отчетный период без учета доли перестраховщика (</w:t>
      </w:r>
    </w:p>
    <w:bookmarkEnd w:id="91"/>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09" w:id="92"/>
    <w:p>
      <w:pPr>
        <w:spacing w:after="0"/>
        <w:ind w:left="0"/>
        <w:jc w:val="both"/>
      </w:pPr>
      <w:r>
        <w:rPr>
          <w:rFonts w:ascii="Times New Roman"/>
          <w:b w:val="false"/>
          <w:i w:val="false"/>
          <w:color w:val="000000"/>
          <w:sz w:val="28"/>
        </w:rPr>
        <w:t xml:space="preserve">
      Стабилизационный резерв на отчетную дату = СР1 - ЧЗП x (K - </w:t>
      </w:r>
    </w:p>
    <w:bookmarkEnd w:id="92"/>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10" w:id="93"/>
    <w:p>
      <w:pPr>
        <w:spacing w:after="0"/>
        <w:ind w:left="0"/>
        <w:jc w:val="both"/>
      </w:pPr>
      <w:r>
        <w:rPr>
          <w:rFonts w:ascii="Times New Roman"/>
          <w:b w:val="false"/>
          <w:i w:val="false"/>
          <w:color w:val="000000"/>
          <w:sz w:val="28"/>
        </w:rPr>
        <w:t>
      СР1 - стабилизационный резерв на предыдущую отчетную дату;</w:t>
      </w:r>
    </w:p>
    <w:bookmarkEnd w:id="93"/>
    <w:bookmarkStart w:name="z111" w:id="94"/>
    <w:p>
      <w:pPr>
        <w:spacing w:after="0"/>
        <w:ind w:left="0"/>
        <w:jc w:val="both"/>
      </w:pPr>
      <w:r>
        <w:rPr>
          <w:rFonts w:ascii="Times New Roman"/>
          <w:b w:val="false"/>
          <w:i w:val="false"/>
          <w:color w:val="000000"/>
          <w:sz w:val="28"/>
        </w:rPr>
        <w:t>
      ЧЗП – сумма чистых заработанных страховых премий за отчетный период.</w:t>
      </w:r>
    </w:p>
    <w:bookmarkEnd w:id="94"/>
    <w:bookmarkStart w:name="z112" w:id="95"/>
    <w:p>
      <w:pPr>
        <w:spacing w:after="0"/>
        <w:ind w:left="0"/>
        <w:jc w:val="both"/>
      </w:pPr>
      <w:r>
        <w:rPr>
          <w:rFonts w:ascii="Times New Roman"/>
          <w:b w:val="false"/>
          <w:i w:val="false"/>
          <w:color w:val="000000"/>
          <w:sz w:val="28"/>
        </w:rPr>
        <w:t>
      Сумма чистых заработанных страховых премий – сумма страховых премий без учета доли перестраховщика за отчетный период, увеличенная на величину резерва незаработанной премии без учета доли перестраховщика на начало отчетного периода и уменьшенная на величину резерва незаработанной премии без учета доли перестраховщика на конец отчетного периода;</w:t>
      </w:r>
    </w:p>
    <w:bookmarkEnd w:id="95"/>
    <w:bookmarkStart w:name="z113" w:id="96"/>
    <w:p>
      <w:pPr>
        <w:spacing w:after="0"/>
        <w:ind w:left="0"/>
        <w:jc w:val="both"/>
      </w:pPr>
      <w:r>
        <w:rPr>
          <w:rFonts w:ascii="Times New Roman"/>
          <w:b w:val="false"/>
          <w:i w:val="false"/>
          <w:color w:val="000000"/>
          <w:sz w:val="28"/>
        </w:rPr>
        <w:t>
      K - коэффициент убыточности за отчетный период без учета доли перестраховщика на отчетную дату;</w:t>
      </w:r>
    </w:p>
    <w:bookmarkEnd w:id="96"/>
    <w:bookmarkStart w:name="z114"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среднее значение коэффициента убыточности за отчетный период без учета доли перестраховщика за M финансовых лет.</w:t>
      </w:r>
      <w:r>
        <w:br/>
      </w:r>
      <w:r>
        <w:rPr>
          <w:rFonts w:ascii="Times New Roman"/>
          <w:b w:val="false"/>
          <w:i w:val="false"/>
          <w:color w:val="000000"/>
          <w:sz w:val="28"/>
        </w:rPr>
        <w:t>
</w:t>
      </w:r>
    </w:p>
    <w:bookmarkStart w:name="z115" w:id="98"/>
    <w:p>
      <w:pPr>
        <w:spacing w:after="0"/>
        <w:ind w:left="0"/>
        <w:jc w:val="both"/>
      </w:pPr>
      <w:r>
        <w:rPr>
          <w:rFonts w:ascii="Times New Roman"/>
          <w:b w:val="false"/>
          <w:i w:val="false"/>
          <w:color w:val="000000"/>
          <w:sz w:val="28"/>
        </w:rPr>
        <w:t>
      Для расчета стабилизационного резерва отчетный период равен одному финансовому году.";</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117" w:id="99"/>
    <w:p>
      <w:pPr>
        <w:spacing w:after="0"/>
        <w:ind w:left="0"/>
        <w:jc w:val="both"/>
      </w:pPr>
      <w:r>
        <w:rPr>
          <w:rFonts w:ascii="Times New Roman"/>
          <w:b w:val="false"/>
          <w:i w:val="false"/>
          <w:color w:val="000000"/>
          <w:sz w:val="28"/>
        </w:rPr>
        <w:t>
      "64. Расчет фактической маржи платежеспособности и минимального размера маржи платежеспособности (собственного капитала) участника страховой группы, являющегося финансовой организацией, но не являющегося страховой (перестраховочной) организацией, определяется в соответствии с расчетом пруденциальных нормативов данного участника страховой группы.</w:t>
      </w:r>
    </w:p>
    <w:bookmarkEnd w:id="99"/>
    <w:bookmarkStart w:name="z118" w:id="100"/>
    <w:p>
      <w:pPr>
        <w:spacing w:after="0"/>
        <w:ind w:left="0"/>
        <w:jc w:val="both"/>
      </w:pPr>
      <w:r>
        <w:rPr>
          <w:rFonts w:ascii="Times New Roman"/>
          <w:b w:val="false"/>
          <w:i w:val="false"/>
          <w:color w:val="000000"/>
          <w:sz w:val="28"/>
        </w:rPr>
        <w:t>
      Если для участника страховой группы, являющегося финансовой организацией, нормативными правовыми актами уполномоченного органа не установлен расчет активов и (или) условных и возможных обязательств, взвешенных по степени кредитного риска вложений, то минимальный размер маржи платежеспособности (собственного капитала) равен значению минимального размера маржи платежеспособности (собственного капитала), необходимого для выполнения норматива (коэффициента) достаточности маржи платежеспособности (собственного капитала), установленного нормативными правовыми актами уполномоченного органа.</w:t>
      </w:r>
    </w:p>
    <w:bookmarkEnd w:id="100"/>
    <w:bookmarkStart w:name="z119" w:id="101"/>
    <w:p>
      <w:pPr>
        <w:spacing w:after="0"/>
        <w:ind w:left="0"/>
        <w:jc w:val="both"/>
      </w:pPr>
      <w:r>
        <w:rPr>
          <w:rFonts w:ascii="Times New Roman"/>
          <w:b w:val="false"/>
          <w:i w:val="false"/>
          <w:color w:val="000000"/>
          <w:sz w:val="28"/>
        </w:rPr>
        <w:t>
      Минимальный размер маржи платежеспособности (собственного капитала) участников страховой группы, не являющихся финансовой организацией, равен сумме активов и (или) условных и возможных обязательств участника страховой группы, взвешенных по степени кредитного риска вложений, умноженной на коэффициент достаточности собственного капитала, установленный в соответствии с расчетом пруденциальных нормативов данного участника страховой группы.</w:t>
      </w:r>
    </w:p>
    <w:bookmarkEnd w:id="101"/>
    <w:bookmarkStart w:name="z120" w:id="102"/>
    <w:p>
      <w:pPr>
        <w:spacing w:after="0"/>
        <w:ind w:left="0"/>
        <w:jc w:val="both"/>
      </w:pPr>
      <w:r>
        <w:rPr>
          <w:rFonts w:ascii="Times New Roman"/>
          <w:b w:val="false"/>
          <w:i w:val="false"/>
          <w:color w:val="000000"/>
          <w:sz w:val="28"/>
        </w:rPr>
        <w:t>
      Если в отношении участника страховой группы расчет норматива (коэффициента) достаточности маржи платежеспособности (собственного капитала) нормативными правовыми актами уполномоченного органа не установлен, то по данному участнику:</w:t>
      </w:r>
    </w:p>
    <w:bookmarkEnd w:id="102"/>
    <w:bookmarkStart w:name="z121" w:id="103"/>
    <w:p>
      <w:pPr>
        <w:spacing w:after="0"/>
        <w:ind w:left="0"/>
        <w:jc w:val="both"/>
      </w:pPr>
      <w:r>
        <w:rPr>
          <w:rFonts w:ascii="Times New Roman"/>
          <w:b w:val="false"/>
          <w:i w:val="false"/>
          <w:color w:val="000000"/>
          <w:sz w:val="28"/>
        </w:rPr>
        <w:t>
      фактическая маржа платежеспособности (собственный капитал) определяется на основании отчетности, представляемой в соответствии с пунктом 2 Нормативов, как разница между активами и обязательствами;</w:t>
      </w:r>
    </w:p>
    <w:bookmarkEnd w:id="103"/>
    <w:bookmarkStart w:name="z122" w:id="104"/>
    <w:p>
      <w:pPr>
        <w:spacing w:after="0"/>
        <w:ind w:left="0"/>
        <w:jc w:val="both"/>
      </w:pPr>
      <w:r>
        <w:rPr>
          <w:rFonts w:ascii="Times New Roman"/>
          <w:b w:val="false"/>
          <w:i w:val="false"/>
          <w:color w:val="000000"/>
          <w:sz w:val="28"/>
        </w:rPr>
        <w:t>
      минимальный размер маржи платежеспособности (собственного капитала) рассчитывается по формуле:</w:t>
      </w:r>
    </w:p>
    <w:bookmarkEnd w:id="104"/>
    <w:bookmarkStart w:name="z123" w:id="105"/>
    <w:p>
      <w:pPr>
        <w:spacing w:after="0"/>
        <w:ind w:left="0"/>
        <w:jc w:val="both"/>
      </w:pPr>
      <w:r>
        <w:rPr>
          <w:rFonts w:ascii="Times New Roman"/>
          <w:b w:val="false"/>
          <w:i w:val="false"/>
          <w:color w:val="000000"/>
          <w:sz w:val="28"/>
        </w:rPr>
        <w:t>
      СК = А x 0,14, где:</w:t>
      </w:r>
    </w:p>
    <w:bookmarkEnd w:id="105"/>
    <w:bookmarkStart w:name="z124" w:id="106"/>
    <w:p>
      <w:pPr>
        <w:spacing w:after="0"/>
        <w:ind w:left="0"/>
        <w:jc w:val="both"/>
      </w:pPr>
      <w:r>
        <w:rPr>
          <w:rFonts w:ascii="Times New Roman"/>
          <w:b w:val="false"/>
          <w:i w:val="false"/>
          <w:color w:val="000000"/>
          <w:sz w:val="28"/>
        </w:rPr>
        <w:t>
      СК – минимальный размер маржи платежеспособности (собственного капитала) участника страховой группы;</w:t>
      </w:r>
    </w:p>
    <w:bookmarkEnd w:id="106"/>
    <w:bookmarkStart w:name="z125" w:id="107"/>
    <w:p>
      <w:pPr>
        <w:spacing w:after="0"/>
        <w:ind w:left="0"/>
        <w:jc w:val="both"/>
      </w:pPr>
      <w:r>
        <w:rPr>
          <w:rFonts w:ascii="Times New Roman"/>
          <w:b w:val="false"/>
          <w:i w:val="false"/>
          <w:color w:val="000000"/>
          <w:sz w:val="28"/>
        </w:rPr>
        <w:t xml:space="preserve">
      А - сумма активов, условных и возможных обязательств участника страховой группы, взвешенных по степени кредитного риска вложений в соответствии с Нормативными значениями и методиками расчетов пруденциальных нормативов и иных обязательных к соблюдению норм и лимитов, размера капитала банка,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зарегистрированным в Реестре государственной регистрации нормативных правовых актов под № 15886.</w:t>
      </w:r>
    </w:p>
    <w:bookmarkEnd w:id="107"/>
    <w:bookmarkStart w:name="z126" w:id="108"/>
    <w:p>
      <w:pPr>
        <w:spacing w:after="0"/>
        <w:ind w:left="0"/>
        <w:jc w:val="both"/>
      </w:pPr>
      <w:r>
        <w:rPr>
          <w:rFonts w:ascii="Times New Roman"/>
          <w:b w:val="false"/>
          <w:i w:val="false"/>
          <w:color w:val="000000"/>
          <w:sz w:val="28"/>
        </w:rPr>
        <w:t>
      Для целей взвешивания активов, условных и возможных обязательств по степени кредитного риска вложений активы, условные и возможные обязательства уменьшаются на сумму рассчитанных по ним резервов (провизий).</w:t>
      </w:r>
    </w:p>
    <w:bookmarkEnd w:id="108"/>
    <w:bookmarkStart w:name="z127" w:id="109"/>
    <w:p>
      <w:pPr>
        <w:spacing w:after="0"/>
        <w:ind w:left="0"/>
        <w:jc w:val="both"/>
      </w:pPr>
      <w:r>
        <w:rPr>
          <w:rFonts w:ascii="Times New Roman"/>
          <w:b w:val="false"/>
          <w:i w:val="false"/>
          <w:color w:val="000000"/>
          <w:sz w:val="28"/>
        </w:rPr>
        <w:t>
      В расчет суммы активов, условных и возможных обязательств участников страховой группы, взвешиваемых по степени кредитного риска вложений, не включаются требования участников страховой группы друг к другу.";</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bookmarkStart w:name="z130" w:id="110"/>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января 2019 года № 13 "Об утверждении Требований к формированию, методике расчета страховых резервов и их структуре" (зарегистрировано в Реестре государственной регистрации нормативных правовых актов под № 18290) следующие изменения:</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32" w:id="111"/>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страховой деятельности</w:t>
      </w:r>
      <w:r>
        <w:rPr>
          <w:rFonts w:ascii="Times New Roman"/>
          <w:b w:val="false"/>
          <w:i w:val="false"/>
          <w:color w:val="000000"/>
          <w:sz w:val="28"/>
        </w:rPr>
        <w:t>" и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111"/>
    <w:bookmarkStart w:name="z133" w:id="1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формированию, методике расчета страховых резервов и их структуре, утвержденных указанным постановлением:</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35" w:id="113"/>
    <w:p>
      <w:pPr>
        <w:spacing w:after="0"/>
        <w:ind w:left="0"/>
        <w:jc w:val="both"/>
      </w:pPr>
      <w:r>
        <w:rPr>
          <w:rFonts w:ascii="Times New Roman"/>
          <w:b w:val="false"/>
          <w:i w:val="false"/>
          <w:color w:val="000000"/>
          <w:sz w:val="28"/>
        </w:rPr>
        <w:t xml:space="preserve">
      "1. Настоящие Требования к формированию, методике расчета страховых резервов и их структуре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(далее – Закон) и устанавливают требования к формированию, методике расчета страховых резервов и их структуре по обязательным и добровольным классам страхования отрасли "общее страхование" и отрасли "страхование жизни".</w:t>
      </w:r>
    </w:p>
    <w:bookmarkEnd w:id="113"/>
    <w:bookmarkStart w:name="z136" w:id="114"/>
    <w:p>
      <w:pPr>
        <w:spacing w:after="0"/>
        <w:ind w:left="0"/>
        <w:jc w:val="both"/>
      </w:pPr>
      <w:r>
        <w:rPr>
          <w:rFonts w:ascii="Times New Roman"/>
          <w:b w:val="false"/>
          <w:i w:val="false"/>
          <w:color w:val="000000"/>
          <w:sz w:val="28"/>
        </w:rPr>
        <w:t>
      Требования распространяются на страховые (перестраховочные) организации, в том числе исламские страховые (перестраховочные) организации, филиалы страховых организаций-нерезидентов Республики Казахстан и филиалы исламских страховых организаций-нерезидентов Республики Казахстан.</w:t>
      </w:r>
    </w:p>
    <w:bookmarkEnd w:id="114"/>
    <w:bookmarkStart w:name="z137" w:id="115"/>
    <w:p>
      <w:pPr>
        <w:spacing w:after="0"/>
        <w:ind w:left="0"/>
        <w:jc w:val="both"/>
      </w:pPr>
      <w:r>
        <w:rPr>
          <w:rFonts w:ascii="Times New Roman"/>
          <w:b w:val="false"/>
          <w:i w:val="false"/>
          <w:color w:val="000000"/>
          <w:sz w:val="28"/>
        </w:rPr>
        <w:t>
      2. Для целей Требований используются следующие понятия:</w:t>
      </w:r>
    </w:p>
    <w:bookmarkEnd w:id="115"/>
    <w:bookmarkStart w:name="z138" w:id="116"/>
    <w:p>
      <w:pPr>
        <w:spacing w:after="0"/>
        <w:ind w:left="0"/>
        <w:jc w:val="both"/>
      </w:pPr>
      <w:r>
        <w:rPr>
          <w:rFonts w:ascii="Times New Roman"/>
          <w:b w:val="false"/>
          <w:i w:val="false"/>
          <w:color w:val="000000"/>
          <w:sz w:val="28"/>
        </w:rPr>
        <w:t>
      1) актуарные методы – экономико-математические методы расчетов, применяемые актуарием при расчете страховых резервов;</w:t>
      </w:r>
    </w:p>
    <w:bookmarkEnd w:id="116"/>
    <w:bookmarkStart w:name="z139" w:id="117"/>
    <w:p>
      <w:pPr>
        <w:spacing w:after="0"/>
        <w:ind w:left="0"/>
        <w:jc w:val="both"/>
      </w:pPr>
      <w:r>
        <w:rPr>
          <w:rFonts w:ascii="Times New Roman"/>
          <w:b w:val="false"/>
          <w:i w:val="false"/>
          <w:color w:val="000000"/>
          <w:sz w:val="28"/>
        </w:rPr>
        <w:t>
      2) катастрофический риск – риск потери или неблагоприятного изменения стоимости страховых обязательств в результате значительной неопределенности допущений, использованных при ценообразовании и формировании резервов в отношении крайних и исключительных событий;</w:t>
      </w:r>
    </w:p>
    <w:bookmarkEnd w:id="117"/>
    <w:bookmarkStart w:name="z140" w:id="118"/>
    <w:p>
      <w:pPr>
        <w:spacing w:after="0"/>
        <w:ind w:left="0"/>
        <w:jc w:val="both"/>
      </w:pPr>
      <w:r>
        <w:rPr>
          <w:rFonts w:ascii="Times New Roman"/>
          <w:b w:val="false"/>
          <w:i w:val="false"/>
          <w:color w:val="000000"/>
          <w:sz w:val="28"/>
        </w:rPr>
        <w:t xml:space="preserve">
      3) прогнозируемые выплаты – обязательства страховой (перестраховочной) организации, связанные с продлением (переосвидетельствованием) степени утраты профессиональной трудоспособности (далее – степень УПТ) выгодоприобретателя или возмещением вреда лицам, понесшим ущерб в результате смерти работника согласно </w:t>
      </w:r>
      <w:r>
        <w:rPr>
          <w:rFonts w:ascii="Times New Roman"/>
          <w:b w:val="false"/>
          <w:i w:val="false"/>
          <w:color w:val="000000"/>
          <w:sz w:val="28"/>
        </w:rPr>
        <w:t>статье 940</w:t>
      </w:r>
      <w:r>
        <w:rPr>
          <w:rFonts w:ascii="Times New Roman"/>
          <w:b w:val="false"/>
          <w:i w:val="false"/>
          <w:color w:val="000000"/>
          <w:sz w:val="28"/>
        </w:rPr>
        <w:t xml:space="preserve"> Гражданского кодекса Республики Казахстан (Особенная часть) (далее – Гражданский кодекс);</w:t>
      </w:r>
    </w:p>
    <w:bookmarkEnd w:id="118"/>
    <w:bookmarkStart w:name="z141" w:id="119"/>
    <w:p>
      <w:pPr>
        <w:spacing w:after="0"/>
        <w:ind w:left="0"/>
        <w:jc w:val="both"/>
      </w:pPr>
      <w:r>
        <w:rPr>
          <w:rFonts w:ascii="Times New Roman"/>
          <w:b w:val="false"/>
          <w:i w:val="false"/>
          <w:color w:val="000000"/>
          <w:sz w:val="28"/>
        </w:rPr>
        <w:t>
      4) дата расчета – дата, на которую производится расчет страховых резервов;</w:t>
      </w:r>
    </w:p>
    <w:bookmarkEnd w:id="119"/>
    <w:bookmarkStart w:name="z142" w:id="120"/>
    <w:p>
      <w:pPr>
        <w:spacing w:after="0"/>
        <w:ind w:left="0"/>
        <w:jc w:val="both"/>
      </w:pPr>
      <w:r>
        <w:rPr>
          <w:rFonts w:ascii="Times New Roman"/>
          <w:b w:val="false"/>
          <w:i w:val="false"/>
          <w:color w:val="000000"/>
          <w:sz w:val="28"/>
        </w:rPr>
        <w:t>
      5) минимальная депозитная премия (депозитная премия) – сумма денег, которая подлежит уплате страховой (перестраховочной) организации по договору страхования (перестрахования), условиями которого предусмотрена их невозвратность;</w:t>
      </w:r>
    </w:p>
    <w:bookmarkEnd w:id="120"/>
    <w:bookmarkStart w:name="z143" w:id="121"/>
    <w:p>
      <w:pPr>
        <w:spacing w:after="0"/>
        <w:ind w:left="0"/>
        <w:jc w:val="both"/>
      </w:pPr>
      <w:r>
        <w:rPr>
          <w:rFonts w:ascii="Times New Roman"/>
          <w:b w:val="false"/>
          <w:i w:val="false"/>
          <w:color w:val="000000"/>
          <w:sz w:val="28"/>
        </w:rPr>
        <w:t>
      6) незаработанная страховая премия – часть страховой премии, относящаяся к оставшемуся на дату расчета периоду действия страховой защиты по договору страхования (перестрахования);</w:t>
      </w:r>
    </w:p>
    <w:bookmarkEnd w:id="121"/>
    <w:bookmarkStart w:name="z144" w:id="122"/>
    <w:p>
      <w:pPr>
        <w:spacing w:after="0"/>
        <w:ind w:left="0"/>
        <w:jc w:val="both"/>
      </w:pPr>
      <w:r>
        <w:rPr>
          <w:rFonts w:ascii="Times New Roman"/>
          <w:b w:val="false"/>
          <w:i w:val="false"/>
          <w:color w:val="000000"/>
          <w:sz w:val="28"/>
        </w:rPr>
        <w:t>
      7) ставка индексации – ставка, повышающая размер страховой выплаты;</w:t>
      </w:r>
    </w:p>
    <w:bookmarkEnd w:id="122"/>
    <w:bookmarkStart w:name="z145" w:id="123"/>
    <w:p>
      <w:pPr>
        <w:spacing w:after="0"/>
        <w:ind w:left="0"/>
        <w:jc w:val="both"/>
      </w:pPr>
      <w:r>
        <w:rPr>
          <w:rFonts w:ascii="Times New Roman"/>
          <w:b w:val="false"/>
          <w:i w:val="false"/>
          <w:color w:val="000000"/>
          <w:sz w:val="28"/>
        </w:rPr>
        <w:t>
      8) приведенная ожидаемая стоимость – ожидаемая (вероятная) стоимость страховых премий (страховых взносов) либо страховых выплат, либо расходов, рассчитанная (дисконтированная) с учетом процентной ставки и периода времени между датой расчета и датой поступления страховой премии (взносов) либо датой осуществления страховой выплаты по договору страхования (перестрахования) с использованием таблиц, содержащих вероятности наступления смерти, инвалидности, заболевания и рассчитанные на их основе величины, связанные с предстоящей продолжительностью жизни лиц (далее – таблицы смертности, заболеваемости, инвалидности);</w:t>
      </w:r>
    </w:p>
    <w:bookmarkEnd w:id="123"/>
    <w:bookmarkStart w:name="z146" w:id="124"/>
    <w:p>
      <w:pPr>
        <w:spacing w:after="0"/>
        <w:ind w:left="0"/>
        <w:jc w:val="both"/>
      </w:pPr>
      <w:r>
        <w:rPr>
          <w:rFonts w:ascii="Times New Roman"/>
          <w:b w:val="false"/>
          <w:i w:val="false"/>
          <w:color w:val="000000"/>
          <w:sz w:val="28"/>
        </w:rPr>
        <w:t>
      9) понесенные убытки – сумма осуществленных выплат и заявленных, но неурегулированных убытков страховой (перестраховочной) организации;</w:t>
      </w:r>
    </w:p>
    <w:bookmarkEnd w:id="124"/>
    <w:bookmarkStart w:name="z147" w:id="125"/>
    <w:p>
      <w:pPr>
        <w:spacing w:after="0"/>
        <w:ind w:left="0"/>
        <w:jc w:val="both"/>
      </w:pPr>
      <w:r>
        <w:rPr>
          <w:rFonts w:ascii="Times New Roman"/>
          <w:b w:val="false"/>
          <w:i w:val="false"/>
          <w:color w:val="000000"/>
          <w:sz w:val="28"/>
        </w:rPr>
        <w:t>
      10) заявленный, но неурегулированный убыток – требование к страховой (перестраховочной) организации о наступлении страхового события и (или) страхового случая и (или) об осуществлении страховой выплаты, заявленное страхователем (застрахованным, выгодоприобретателем) в письменной форме, либо в порядке, предусмотренном законами Республики Казахстан об обязательных видах страхования и (или) договором страхования (перестрахования), по которому страховая выплата не осуществлялась или осуществлялась не в полном объеме;</w:t>
      </w:r>
    </w:p>
    <w:bookmarkEnd w:id="125"/>
    <w:bookmarkStart w:name="z148" w:id="126"/>
    <w:p>
      <w:pPr>
        <w:spacing w:after="0"/>
        <w:ind w:left="0"/>
        <w:jc w:val="both"/>
      </w:pPr>
      <w:r>
        <w:rPr>
          <w:rFonts w:ascii="Times New Roman"/>
          <w:b w:val="false"/>
          <w:i w:val="false"/>
          <w:color w:val="000000"/>
          <w:sz w:val="28"/>
        </w:rPr>
        <w:t>
      11) нетто-премия (нетто-взносы при уплате в рассрочку) – сумма денег, которая подлежит уплате страховой (перестраховочной) организации за принятие ею обязательств исключительно по осуществлению страховых выплат без учета покрытия иных расходов страховой (перестраховочной) организации;</w:t>
      </w:r>
    </w:p>
    <w:bookmarkEnd w:id="126"/>
    <w:bookmarkStart w:name="z149" w:id="127"/>
    <w:p>
      <w:pPr>
        <w:spacing w:after="0"/>
        <w:ind w:left="0"/>
        <w:jc w:val="both"/>
      </w:pPr>
      <w:r>
        <w:rPr>
          <w:rFonts w:ascii="Times New Roman"/>
          <w:b w:val="false"/>
          <w:i w:val="false"/>
          <w:color w:val="000000"/>
          <w:sz w:val="28"/>
        </w:rPr>
        <w:t>
      12) резервный базис – совокупность значений параметров, влияющих на величину страховых резервов по договорам страхования жизни и аннуитетного страхования;</w:t>
      </w:r>
    </w:p>
    <w:bookmarkEnd w:id="127"/>
    <w:bookmarkStart w:name="z150" w:id="128"/>
    <w:p>
      <w:pPr>
        <w:spacing w:after="0"/>
        <w:ind w:left="0"/>
        <w:jc w:val="both"/>
      </w:pPr>
      <w:r>
        <w:rPr>
          <w:rFonts w:ascii="Times New Roman"/>
          <w:b w:val="false"/>
          <w:i w:val="false"/>
          <w:color w:val="000000"/>
          <w:sz w:val="28"/>
        </w:rPr>
        <w:t>
      13) расходы по урегулированию страховых убытков – сумма денег, необходимых страховой (перестраховочной) организации для оплаты экспертных, консультационных или иных услуг, связанных с оценкой размера и снижением ущерба (вреда), нанесенного имущественным интересам страхователя, возникших в связи со страховыми случаями;</w:t>
      </w:r>
    </w:p>
    <w:bookmarkEnd w:id="128"/>
    <w:bookmarkStart w:name="z151" w:id="129"/>
    <w:p>
      <w:pPr>
        <w:spacing w:after="0"/>
        <w:ind w:left="0"/>
        <w:jc w:val="both"/>
      </w:pPr>
      <w:r>
        <w:rPr>
          <w:rFonts w:ascii="Times New Roman"/>
          <w:b w:val="false"/>
          <w:i w:val="false"/>
          <w:color w:val="000000"/>
          <w:sz w:val="28"/>
        </w:rPr>
        <w:t>
      14) страховое событие – событие, имеющее вероятность в последующем быть признанным страховым случаем согласно законам Республики Казахстан об обязательных видах страхования и (или) договору страхования (перестрахования);</w:t>
      </w:r>
    </w:p>
    <w:bookmarkEnd w:id="129"/>
    <w:bookmarkStart w:name="z152" w:id="130"/>
    <w:p>
      <w:pPr>
        <w:spacing w:after="0"/>
        <w:ind w:left="0"/>
        <w:jc w:val="both"/>
      </w:pPr>
      <w:r>
        <w:rPr>
          <w:rFonts w:ascii="Times New Roman"/>
          <w:b w:val="false"/>
          <w:i w:val="false"/>
          <w:color w:val="000000"/>
          <w:sz w:val="28"/>
        </w:rPr>
        <w:t>
      15) страховые резервы – обязательства страховой (перестраховочной) организации по договорам страхования (перестрахования), оцениваемые на основе актуарных расчетов согласно Требованиям;</w:t>
      </w:r>
    </w:p>
    <w:bookmarkEnd w:id="130"/>
    <w:bookmarkStart w:name="z153" w:id="131"/>
    <w:p>
      <w:pPr>
        <w:spacing w:after="0"/>
        <w:ind w:left="0"/>
        <w:jc w:val="both"/>
      </w:pPr>
      <w:r>
        <w:rPr>
          <w:rFonts w:ascii="Times New Roman"/>
          <w:b w:val="false"/>
          <w:i w:val="false"/>
          <w:color w:val="000000"/>
          <w:sz w:val="28"/>
        </w:rPr>
        <w:t>
      16) доля перестраховщика в страховых резервах – часть обязательств перестраховщика по договору страхования (перестрахования) на дату расчета;</w:t>
      </w:r>
    </w:p>
    <w:bookmarkEnd w:id="131"/>
    <w:bookmarkStart w:name="z154" w:id="132"/>
    <w:p>
      <w:pPr>
        <w:spacing w:after="0"/>
        <w:ind w:left="0"/>
        <w:jc w:val="both"/>
      </w:pPr>
      <w:r>
        <w:rPr>
          <w:rFonts w:ascii="Times New Roman"/>
          <w:b w:val="false"/>
          <w:i w:val="false"/>
          <w:color w:val="000000"/>
          <w:sz w:val="28"/>
        </w:rPr>
        <w:t>
      17) страховая премия – страховая премия по договору страхования (перестрахования);</w:t>
      </w:r>
    </w:p>
    <w:bookmarkEnd w:id="132"/>
    <w:bookmarkStart w:name="z155" w:id="133"/>
    <w:p>
      <w:pPr>
        <w:spacing w:after="0"/>
        <w:ind w:left="0"/>
        <w:jc w:val="both"/>
      </w:pPr>
      <w:r>
        <w:rPr>
          <w:rFonts w:ascii="Times New Roman"/>
          <w:b w:val="false"/>
          <w:i w:val="false"/>
          <w:color w:val="000000"/>
          <w:sz w:val="28"/>
        </w:rPr>
        <w:t>
      18) чистая страховая премия – страховая премия без учета доли перестраховщика;</w:t>
      </w:r>
    </w:p>
    <w:bookmarkEnd w:id="133"/>
    <w:bookmarkStart w:name="z156" w:id="134"/>
    <w:p>
      <w:pPr>
        <w:spacing w:after="0"/>
        <w:ind w:left="0"/>
        <w:jc w:val="both"/>
      </w:pPr>
      <w:r>
        <w:rPr>
          <w:rFonts w:ascii="Times New Roman"/>
          <w:b w:val="false"/>
          <w:i w:val="false"/>
          <w:color w:val="000000"/>
          <w:sz w:val="28"/>
        </w:rPr>
        <w:t>
      19) тарифный базис – совокупность значений параметров, влияющих на величину страховых тарифов по договорам страхования жизни и аннуитетного страхования.";</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58" w:id="135"/>
    <w:p>
      <w:pPr>
        <w:spacing w:after="0"/>
        <w:ind w:left="0"/>
        <w:jc w:val="both"/>
      </w:pPr>
      <w:r>
        <w:rPr>
          <w:rFonts w:ascii="Times New Roman"/>
          <w:b w:val="false"/>
          <w:i w:val="false"/>
          <w:color w:val="000000"/>
          <w:sz w:val="28"/>
        </w:rPr>
        <w:t>
      "9. РНП методом пропорции определяется путем суммирования незаработанных премий, рассчитанных по каждому договору.</w:t>
      </w:r>
    </w:p>
    <w:bookmarkEnd w:id="135"/>
    <w:bookmarkStart w:name="z159" w:id="136"/>
    <w:p>
      <w:pPr>
        <w:spacing w:after="0"/>
        <w:ind w:left="0"/>
        <w:jc w:val="both"/>
      </w:pPr>
      <w:r>
        <w:rPr>
          <w:rFonts w:ascii="Times New Roman"/>
          <w:b w:val="false"/>
          <w:i w:val="false"/>
          <w:color w:val="000000"/>
          <w:sz w:val="28"/>
        </w:rPr>
        <w:t>
      Незаработанная премия методом пропорции определяется по каждому договору как произведение страховой премии по договору на отношение неистекшего на отчетную дату срока действия страховой защиты (в днях) к сроку действия страховой защиты (в днях) со дня начала действия страховой защиты до конца действия страховой защиты:</w:t>
      </w:r>
    </w:p>
    <w:bookmarkEnd w:id="136"/>
    <w:bookmarkStart w:name="z160"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2857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857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 w:id="138"/>
    <w:p>
      <w:pPr>
        <w:spacing w:after="0"/>
        <w:ind w:left="0"/>
        <w:jc w:val="both"/>
      </w:pPr>
      <w:r>
        <w:rPr>
          <w:rFonts w:ascii="Times New Roman"/>
          <w:b w:val="false"/>
          <w:i w:val="false"/>
          <w:color w:val="000000"/>
          <w:sz w:val="28"/>
        </w:rPr>
        <w:t>
      СП - страховая премия;</w:t>
      </w:r>
    </w:p>
    <w:bookmarkEnd w:id="138"/>
    <w:bookmarkStart w:name="z162" w:id="139"/>
    <w:p>
      <w:pPr>
        <w:spacing w:after="0"/>
        <w:ind w:left="0"/>
        <w:jc w:val="both"/>
      </w:pP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sz w:val="28"/>
        </w:rPr>
        <w:t xml:space="preserve"> - количество дней, в течение которых действует страховая защита со дня начала действия страховой защиты до конца действия страховой защиты по договору страхования (перестрахования);</w:t>
      </w:r>
    </w:p>
    <w:bookmarkEnd w:id="139"/>
    <w:bookmarkStart w:name="z163" w:id="140"/>
    <w:p>
      <w:pPr>
        <w:spacing w:after="0"/>
        <w:ind w:left="0"/>
        <w:jc w:val="both"/>
      </w:pP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xml:space="preserve"> - количество дней действия страховой защиты, истекших с момента начала действия страховой защиты до даты расчета (включительно).</w:t>
      </w:r>
    </w:p>
    <w:bookmarkEnd w:id="140"/>
    <w:bookmarkStart w:name="z164" w:id="141"/>
    <w:p>
      <w:pPr>
        <w:spacing w:after="0"/>
        <w:ind w:left="0"/>
        <w:jc w:val="both"/>
      </w:pPr>
      <w:r>
        <w:rPr>
          <w:rFonts w:ascii="Times New Roman"/>
          <w:b w:val="false"/>
          <w:i w:val="false"/>
          <w:color w:val="000000"/>
          <w:sz w:val="28"/>
        </w:rPr>
        <w:t xml:space="preserve">
      При расчете пруденциальных нормативов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декабря 2016 года № 304 "Об установлении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зарегистрированным в Реестре государственной регистрации нормативных правовых актов под № 14794 (далее – постановление № 304) и нормативными значениями и методикой расчетов пруденциальных нормативов филиала страховой (перестраховочной) организации-нерезидента Республики Казахстан, филиала исламской страховой (перестраховочной) организации-нерезидента Республики Казахстан и иных обязательных к соблюдению норм и лимитов, в том числе порядком формирования активов филиала страховой (перестраховочной) организации-нерезидента Республики Казахстан, филиала исламской страховой (перестраховочной) организации-нерезидента Республики Казахстан, принимаемых в качестве резерва, и их минимальным размером (далее – Нормативы), устанавливаемыми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46 Закона, расчет РНП по договору обязательного страхования работника от несчастных случаев при исполнении им трудовых (служебных) обязанностей осуществляется исходя из размера страховой премии, рассчитанной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"Об обязательном страховании работника от несчастных случаев при исполнении им трудовых (служебных) обязанностей" (далее – Закон об обязательном страховании работника от несчастных случаев).";</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66" w:id="142"/>
    <w:p>
      <w:pPr>
        <w:spacing w:after="0"/>
        <w:ind w:left="0"/>
        <w:jc w:val="both"/>
      </w:pPr>
      <w:r>
        <w:rPr>
          <w:rFonts w:ascii="Times New Roman"/>
          <w:b w:val="false"/>
          <w:i w:val="false"/>
          <w:color w:val="000000"/>
          <w:sz w:val="28"/>
        </w:rPr>
        <w:t>
      "14. РПНУ по классу обязательного страхования работника от несчастных случаев при исполнении им трудовых (служебных) обязанностей состоит из двух частей и определяется по следующей формуле:</w:t>
      </w:r>
    </w:p>
    <w:bookmarkEnd w:id="142"/>
    <w:bookmarkStart w:name="z167" w:id="143"/>
    <w:p>
      <w:pPr>
        <w:spacing w:after="0"/>
        <w:ind w:left="0"/>
        <w:jc w:val="both"/>
      </w:pPr>
      <w:r>
        <w:rPr>
          <w:rFonts w:ascii="Times New Roman"/>
          <w:b w:val="false"/>
          <w:i w:val="false"/>
          <w:color w:val="000000"/>
          <w:sz w:val="28"/>
        </w:rPr>
        <w:t>
      РПНУ = РПЕНУ + РПНЗУ, где:</w:t>
      </w:r>
    </w:p>
    <w:bookmarkEnd w:id="143"/>
    <w:bookmarkStart w:name="z168" w:id="144"/>
    <w:p>
      <w:pPr>
        <w:spacing w:after="0"/>
        <w:ind w:left="0"/>
        <w:jc w:val="both"/>
      </w:pPr>
      <w:r>
        <w:rPr>
          <w:rFonts w:ascii="Times New Roman"/>
          <w:b w:val="false"/>
          <w:i w:val="false"/>
          <w:color w:val="000000"/>
          <w:sz w:val="28"/>
        </w:rPr>
        <w:t>
      РПЕНУ рассчитывается актуарными методами, указанными в пункте 11 Требований. При осуществлении страховой (перестраховочной) организацией деятельности по классу обязательного страхования работника от несчастных случаев при исполнении им трудовых (служебных) обязанностей менее 3 (трех) лет либо недостаточности данных для расчета РПЕНУ методами, указанными в пункте 11 Требований, РПЕНУ составляет не менее 5 (пяти) процентов от суммы страховой премии по договорам страхования (перестрахования) и дополнительным соглашениям к договорам страхования (перестрахования) по данному классу, вступившим в силу за последние двенадцать месяцев, предшествующих дате расчета.</w:t>
      </w:r>
    </w:p>
    <w:bookmarkEnd w:id="144"/>
    <w:bookmarkStart w:name="z169" w:id="145"/>
    <w:p>
      <w:pPr>
        <w:spacing w:after="0"/>
        <w:ind w:left="0"/>
        <w:jc w:val="both"/>
      </w:pPr>
      <w:r>
        <w:rPr>
          <w:rFonts w:ascii="Times New Roman"/>
          <w:b w:val="false"/>
          <w:i w:val="false"/>
          <w:color w:val="000000"/>
          <w:sz w:val="28"/>
        </w:rPr>
        <w:t>
      При распределении актуарием обязательств страховщика на основе понесенных убытков при расчете РПЕНУ актуарными методами Таблица накопленных убытков Расчета резерва произошедших, но не заявленных убытков методом цепной лестницы без поправки на инфляцию по форме согласно приложению 9 к Требованиям строится путем суммирования заявленных, но неурегулированных убытков и накопленных величин выплат (оплаченных убытков) на конец каждого периода наступления убытков, используемого для построения треугольника накопленных убытков, согласно Таблице накопленных убытков на основе понесенных убытков Распределения обязательств страховой (перестраховочной) организации на основе понесенных убытков согласно приложению 12 к Требованиям.</w:t>
      </w:r>
    </w:p>
    <w:bookmarkEnd w:id="145"/>
    <w:bookmarkStart w:name="z170" w:id="146"/>
    <w:p>
      <w:pPr>
        <w:spacing w:after="0"/>
        <w:ind w:left="0"/>
        <w:jc w:val="both"/>
      </w:pPr>
      <w:r>
        <w:rPr>
          <w:rFonts w:ascii="Times New Roman"/>
          <w:b w:val="false"/>
          <w:i w:val="false"/>
          <w:color w:val="000000"/>
          <w:sz w:val="28"/>
        </w:rPr>
        <w:t>
      При распределении актуарием обязательств страховщика на основе понесенных убытков при расчете РПЕНУ актуарными методами Таблица накопленных убытков с поправкой на инфляцию за прошедшие периоды Расчета резерва произошедших, но не заявленных убытков методом цепной лестницы с поправкой на инфляцию по форме согласно приложению 10 к Требованиям строится путем суммирования заявленных, но неурегулированных убытков и накопленных величин выплат (оплаченных убытков) на конец каждого периода наступления убытков, используемого для построения треугольника накопленных убытков, согласно Таблице накопленных убытков на основе понесенных убытков Распределения обязательств страховой (перестраховочной) организации на основе понесенных убытков согласно приложению 12 к Требованиям.</w:t>
      </w:r>
    </w:p>
    <w:bookmarkEnd w:id="146"/>
    <w:bookmarkStart w:name="z171" w:id="147"/>
    <w:p>
      <w:pPr>
        <w:spacing w:after="0"/>
        <w:ind w:left="0"/>
        <w:jc w:val="both"/>
      </w:pPr>
      <w:r>
        <w:rPr>
          <w:rFonts w:ascii="Times New Roman"/>
          <w:b w:val="false"/>
          <w:i w:val="false"/>
          <w:color w:val="000000"/>
          <w:sz w:val="28"/>
        </w:rPr>
        <w:t>
      При распределении актуарием обязательств страховщика на основе понесенных убытков при расчете РПЕНУ актуарными методами Таблица накопленных убытков Расчета резерва произошедших, но не заявленных убытков методом Борнхьюттера-Фергюсона (Bornhuetter-Ferguson) по форме согласно приложению 11 к Требованиям строится путем суммирования заявленных, но неурегулированных убытков и накопленных величин выплат (оплаченных убытков) на конец каждого периода наступления убытков, используемого для построения треугольника накопленных убытков, согласно Таблице накопленных убытков на основе понесенных убытков Распределения обязательств страховой (перестраховочной) организации на основе понесенных убытков согласно приложению 12 к Требованиям;</w:t>
      </w:r>
    </w:p>
    <w:bookmarkEnd w:id="147"/>
    <w:bookmarkStart w:name="z172" w:id="148"/>
    <w:p>
      <w:pPr>
        <w:spacing w:after="0"/>
        <w:ind w:left="0"/>
        <w:jc w:val="both"/>
      </w:pPr>
      <w:r>
        <w:rPr>
          <w:rFonts w:ascii="Times New Roman"/>
          <w:b w:val="false"/>
          <w:i w:val="false"/>
          <w:color w:val="000000"/>
          <w:sz w:val="28"/>
        </w:rPr>
        <w:t xml:space="preserve">
      РПНЗУ рассчитывается по выгодоприобретателям, по которым страховая выплата осуществлена в связи с установлением степени УПТ и возмещением вреда лицам, понесшим ущерб в результате смерти работника согласно </w:t>
      </w:r>
      <w:r>
        <w:rPr>
          <w:rFonts w:ascii="Times New Roman"/>
          <w:b w:val="false"/>
          <w:i w:val="false"/>
          <w:color w:val="000000"/>
          <w:sz w:val="28"/>
        </w:rPr>
        <w:t>статье 940</w:t>
      </w:r>
      <w:r>
        <w:rPr>
          <w:rFonts w:ascii="Times New Roman"/>
          <w:b w:val="false"/>
          <w:i w:val="false"/>
          <w:color w:val="000000"/>
          <w:sz w:val="28"/>
        </w:rPr>
        <w:t xml:space="preserve"> Гражданского кодекса.</w:t>
      </w:r>
    </w:p>
    <w:bookmarkEnd w:id="148"/>
    <w:bookmarkStart w:name="z173" w:id="149"/>
    <w:p>
      <w:pPr>
        <w:spacing w:after="0"/>
        <w:ind w:left="0"/>
        <w:jc w:val="both"/>
      </w:pPr>
      <w:r>
        <w:rPr>
          <w:rFonts w:ascii="Times New Roman"/>
          <w:b w:val="false"/>
          <w:i w:val="false"/>
          <w:color w:val="000000"/>
          <w:sz w:val="28"/>
        </w:rPr>
        <w:t xml:space="preserve">
      РПНЗУ формируется в целях оценки ожидаемых обязательств, связанных с продлением (переосвидетельствованием) степени УПТ и возмещением вреда лицам, понесшим ущерб в результате смерти работника согласно </w:t>
      </w:r>
      <w:r>
        <w:rPr>
          <w:rFonts w:ascii="Times New Roman"/>
          <w:b w:val="false"/>
          <w:i w:val="false"/>
          <w:color w:val="000000"/>
          <w:sz w:val="28"/>
        </w:rPr>
        <w:t>статье 940</w:t>
      </w:r>
      <w:r>
        <w:rPr>
          <w:rFonts w:ascii="Times New Roman"/>
          <w:b w:val="false"/>
          <w:i w:val="false"/>
          <w:color w:val="000000"/>
          <w:sz w:val="28"/>
        </w:rPr>
        <w:t xml:space="preserve"> Гражданского кодекса, принятых страховой (перестраховочной) организацией по договорам страхования (перестрахования).</w:t>
      </w:r>
    </w:p>
    <w:bookmarkEnd w:id="149"/>
    <w:bookmarkStart w:name="z174" w:id="150"/>
    <w:p>
      <w:pPr>
        <w:spacing w:after="0"/>
        <w:ind w:left="0"/>
        <w:jc w:val="both"/>
      </w:pPr>
      <w:r>
        <w:rPr>
          <w:rFonts w:ascii="Times New Roman"/>
          <w:b w:val="false"/>
          <w:i w:val="false"/>
          <w:color w:val="000000"/>
          <w:sz w:val="28"/>
        </w:rPr>
        <w:t xml:space="preserve">
      РПНЗУ равен сумме прогнозируемых выплат, связанных с продлением (переосвидетельствованием) степени УПТ, определяемой индивидуально по каждому выгодоприобретателю, которому установлена степень УПТ или по которому ожидается повторное продление (переосвидетельствование) степени УПТ, и связанных с возмещением вреда лицам, понесшим ущерб в результате смерти работника согласно </w:t>
      </w:r>
      <w:r>
        <w:rPr>
          <w:rFonts w:ascii="Times New Roman"/>
          <w:b w:val="false"/>
          <w:i w:val="false"/>
          <w:color w:val="000000"/>
          <w:sz w:val="28"/>
        </w:rPr>
        <w:t>статье 940</w:t>
      </w:r>
      <w:r>
        <w:rPr>
          <w:rFonts w:ascii="Times New Roman"/>
          <w:b w:val="false"/>
          <w:i w:val="false"/>
          <w:color w:val="000000"/>
          <w:sz w:val="28"/>
        </w:rPr>
        <w:t xml:space="preserve"> Гражданского кодекса.</w:t>
      </w:r>
    </w:p>
    <w:bookmarkEnd w:id="150"/>
    <w:bookmarkStart w:name="z175" w:id="151"/>
    <w:p>
      <w:pPr>
        <w:spacing w:after="0"/>
        <w:ind w:left="0"/>
        <w:jc w:val="both"/>
      </w:pPr>
      <w:r>
        <w:rPr>
          <w:rFonts w:ascii="Times New Roman"/>
          <w:b w:val="false"/>
          <w:i w:val="false"/>
          <w:color w:val="000000"/>
          <w:sz w:val="28"/>
        </w:rPr>
        <w:t xml:space="preserve">
      Расчет РПНЗУ осуществляется в соответствии с Правилами расчета аннуитетных выплат по договору аннуитета и о требованиях к договору аннуитета и допустимому уровню расходов страховщика на ведение дела по заключаемым договорам аннуитета,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 марта 2010 года № 28, зарегистрированным в Реестре государственной регистрации нормативных правовых актов под № 6156.</w:t>
      </w:r>
    </w:p>
    <w:bookmarkEnd w:id="151"/>
    <w:bookmarkStart w:name="z176" w:id="152"/>
    <w:p>
      <w:pPr>
        <w:spacing w:after="0"/>
        <w:ind w:left="0"/>
        <w:jc w:val="both"/>
      </w:pPr>
      <w:r>
        <w:rPr>
          <w:rFonts w:ascii="Times New Roman"/>
          <w:b w:val="false"/>
          <w:i w:val="false"/>
          <w:color w:val="000000"/>
          <w:sz w:val="28"/>
        </w:rPr>
        <w:t xml:space="preserve">
      В целях оценки прогнозируемых выплат по каждому выгодоприобретателю продление срока установления степени УПТ осуществляется до достижения пенсионного возраста,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с вероятностью 100 (сто) процентов.</w:t>
      </w:r>
    </w:p>
    <w:bookmarkEnd w:id="152"/>
    <w:bookmarkStart w:name="z177" w:id="153"/>
    <w:p>
      <w:pPr>
        <w:spacing w:after="0"/>
        <w:ind w:left="0"/>
        <w:jc w:val="both"/>
      </w:pPr>
      <w:r>
        <w:rPr>
          <w:rFonts w:ascii="Times New Roman"/>
          <w:b w:val="false"/>
          <w:i w:val="false"/>
          <w:color w:val="000000"/>
          <w:sz w:val="28"/>
        </w:rPr>
        <w:t xml:space="preserve">
      В целях оценки прогнозируемых выплат РПНЗУ формируется по каждому лицу, имеющему право на возмещение вреда лицам, понесшим ущерб в результате смерти работника согласно </w:t>
      </w:r>
      <w:r>
        <w:rPr>
          <w:rFonts w:ascii="Times New Roman"/>
          <w:b w:val="false"/>
          <w:i w:val="false"/>
          <w:color w:val="000000"/>
          <w:sz w:val="28"/>
        </w:rPr>
        <w:t>статье 940</w:t>
      </w:r>
      <w:r>
        <w:rPr>
          <w:rFonts w:ascii="Times New Roman"/>
          <w:b w:val="false"/>
          <w:i w:val="false"/>
          <w:color w:val="000000"/>
          <w:sz w:val="28"/>
        </w:rPr>
        <w:t xml:space="preserve"> Гражданского кодекса, с вероятностью осуществления выплат 100 (сто) процентов.</w:t>
      </w:r>
    </w:p>
    <w:bookmarkEnd w:id="153"/>
    <w:bookmarkStart w:name="z178" w:id="154"/>
    <w:p>
      <w:pPr>
        <w:spacing w:after="0"/>
        <w:ind w:left="0"/>
        <w:jc w:val="both"/>
      </w:pPr>
      <w:r>
        <w:rPr>
          <w:rFonts w:ascii="Times New Roman"/>
          <w:b w:val="false"/>
          <w:i w:val="false"/>
          <w:color w:val="000000"/>
          <w:sz w:val="28"/>
        </w:rPr>
        <w:t>
      Если в страховую (перестраховочную) организацию заявление по заключению договора аннуитета в связи с повторным продлением (переосвидетельствованием) степени УПТ выгодоприобретателя не поступало в течение 2 (двух) лет после истечения срока действия договора аннуитета и страховая (перестраховочная) организация:</w:t>
      </w:r>
    </w:p>
    <w:bookmarkEnd w:id="154"/>
    <w:bookmarkStart w:name="z179" w:id="155"/>
    <w:p>
      <w:pPr>
        <w:spacing w:after="0"/>
        <w:ind w:left="0"/>
        <w:jc w:val="both"/>
      </w:pPr>
      <w:r>
        <w:rPr>
          <w:rFonts w:ascii="Times New Roman"/>
          <w:b w:val="false"/>
          <w:i w:val="false"/>
          <w:color w:val="000000"/>
          <w:sz w:val="28"/>
        </w:rPr>
        <w:t>
      1) не обладает информацией о продлении (переосвидетельствовании) степени УПТ выгодоприобретателя после истечения срока действия договора аннуитета, то актуарий при необходимости исключает из расчета РПНЗУ приведенную сумму прогнозируемых выплат по выгодоприобретателю;</w:t>
      </w:r>
    </w:p>
    <w:bookmarkEnd w:id="155"/>
    <w:bookmarkStart w:name="z180" w:id="156"/>
    <w:p>
      <w:pPr>
        <w:spacing w:after="0"/>
        <w:ind w:left="0"/>
        <w:jc w:val="both"/>
      </w:pPr>
      <w:r>
        <w:rPr>
          <w:rFonts w:ascii="Times New Roman"/>
          <w:b w:val="false"/>
          <w:i w:val="false"/>
          <w:color w:val="000000"/>
          <w:sz w:val="28"/>
        </w:rPr>
        <w:t>
      2) обладает информацией о продлении (переосвидетельствовании) степени УПТ выгодоприобретателя после истечения срока действия договора аннуитета, то актуарий оценку прогнозируемых выплат осуществляет с учетом вероятности повторного заявления выгодоприобретателя, рассчитанной актуарием исходя из его профессионального суждения.</w:t>
      </w:r>
    </w:p>
    <w:bookmarkEnd w:id="156"/>
    <w:bookmarkStart w:name="z181" w:id="157"/>
    <w:p>
      <w:pPr>
        <w:spacing w:after="0"/>
        <w:ind w:left="0"/>
        <w:jc w:val="both"/>
      </w:pPr>
      <w:r>
        <w:rPr>
          <w:rFonts w:ascii="Times New Roman"/>
          <w:b w:val="false"/>
          <w:i w:val="false"/>
          <w:color w:val="000000"/>
          <w:sz w:val="28"/>
        </w:rPr>
        <w:t xml:space="preserve">
      При принятии и (или) передаче в перестрахование обязательств по договорам страхования, заключенным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страховании работника от несчастных случаев, перестрахователем представляются параметры резервного базиса, используемого при расчете РПНЗУ, перестраховщику-резиденту Республики Казахстан путем указания таких параметров в договоре перестрахования и (или) договоре, заключаемого через посредников.</w:t>
      </w:r>
    </w:p>
    <w:bookmarkEnd w:id="157"/>
    <w:bookmarkStart w:name="z182" w:id="158"/>
    <w:p>
      <w:pPr>
        <w:spacing w:after="0"/>
        <w:ind w:left="0"/>
        <w:jc w:val="both"/>
      </w:pPr>
      <w:r>
        <w:rPr>
          <w:rFonts w:ascii="Times New Roman"/>
          <w:b w:val="false"/>
          <w:i w:val="false"/>
          <w:color w:val="000000"/>
          <w:sz w:val="28"/>
        </w:rPr>
        <w:t>
      Значения параметров резервного базиса, используемого перестраховщиком-резидентом Республики Казахстан при расчете РПНЗУ, совпадают со значениями параметров резервного базиса, используемого перестрахователем при расчете РПНЗУ, за исключением случая, когда резервный базис перестраховщика-резидента Республики Казахстан является более консервативным, чем резервный базис перестрахователя.";</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184" w:id="159"/>
    <w:p>
      <w:pPr>
        <w:spacing w:after="0"/>
        <w:ind w:left="0"/>
        <w:jc w:val="both"/>
      </w:pPr>
      <w:r>
        <w:rPr>
          <w:rFonts w:ascii="Times New Roman"/>
          <w:b w:val="false"/>
          <w:i w:val="false"/>
          <w:color w:val="000000"/>
          <w:sz w:val="28"/>
        </w:rPr>
        <w:t>
      "18. В случае осуществления страховой (перестраховочной) организацией деятельности по классу страхования, за исключением обязательного страхования работника от несчастных случаев при исполнении им трудовых (служебных) обязанностей, менее 3 (трех) лет либо недостаточности данных для расчета РПНУ актуарными методами, указанными в пункте 11 Требований, РПНУ составляет не менее 5 (пяти) процентов от суммы страховой премии по договорам страхования (перестрахования) и дополнительным соглашениям к договорам страхования (перестрахования), вступившим в силу за последние 12 (двенадцать) месяцев, предшествующих дате расчета.</w:t>
      </w:r>
    </w:p>
    <w:bookmarkEnd w:id="159"/>
    <w:bookmarkStart w:name="z185" w:id="160"/>
    <w:p>
      <w:pPr>
        <w:spacing w:after="0"/>
        <w:ind w:left="0"/>
        <w:jc w:val="both"/>
      </w:pPr>
      <w:r>
        <w:rPr>
          <w:rFonts w:ascii="Times New Roman"/>
          <w:b w:val="false"/>
          <w:i w:val="false"/>
          <w:color w:val="000000"/>
          <w:sz w:val="28"/>
        </w:rPr>
        <w:t>
      19. По классу ипотечного страхования величина РПНУ составляет не менее 60 (шестидесяти) процентов от суммы страховой премии по договорам страхования (перестрахования) и дополнительным соглашениям к договорам страхования (перестрахования), вступившим в силу за последние 12 (двенадцать) месяцев, предшествующих дате расчета.";</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187" w:id="161"/>
    <w:p>
      <w:pPr>
        <w:spacing w:after="0"/>
        <w:ind w:left="0"/>
        <w:jc w:val="both"/>
      </w:pPr>
      <w:r>
        <w:rPr>
          <w:rFonts w:ascii="Times New Roman"/>
          <w:b w:val="false"/>
          <w:i w:val="false"/>
          <w:color w:val="000000"/>
          <w:sz w:val="28"/>
        </w:rPr>
        <w:t>
      "51. Для расчета РПНУ без учета доли перестраховщика применяется метод расчета, выбранный при расчете РПНУ с учетом доли перестраховщика с применением коэффициентов развития убытков, использованных при расчете РПНУ с учетом доли перестраховщика.</w:t>
      </w:r>
    </w:p>
    <w:bookmarkEnd w:id="161"/>
    <w:bookmarkStart w:name="z188" w:id="162"/>
    <w:p>
      <w:pPr>
        <w:spacing w:after="0"/>
        <w:ind w:left="0"/>
        <w:jc w:val="both"/>
      </w:pPr>
      <w:r>
        <w:rPr>
          <w:rFonts w:ascii="Times New Roman"/>
          <w:b w:val="false"/>
          <w:i w:val="false"/>
          <w:color w:val="000000"/>
          <w:sz w:val="28"/>
        </w:rPr>
        <w:t>
      В случае расчета РПНУ в соответствии с пунктом 18 Требований, доля перестраховщика в РПНУ равна произведению размера процентов, используемого при расчете РПНУ с учетом доли перестраховщика в соответствии с пунктом 18 Требований, и перестраховочной премии по договорам страхования и дополнительным соглашениям к договорам страхования, переданным в перестрахование и вступившим в силу за последние 12 (двенадцать) месяцев, предшествующих дате расчета.".</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страховой</w:t>
            </w:r>
            <w:r>
              <w:br/>
            </w:r>
            <w:r>
              <w:rPr>
                <w:rFonts w:ascii="Times New Roman"/>
                <w:b w:val="false"/>
                <w:i w:val="false"/>
                <w:color w:val="000000"/>
                <w:sz w:val="20"/>
              </w:rPr>
              <w:t>деятельности,</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и страховой</w:t>
            </w:r>
            <w:r>
              <w:br/>
            </w:r>
            <w:r>
              <w:rPr>
                <w:rFonts w:ascii="Times New Roman"/>
                <w:b w:val="false"/>
                <w:i w:val="false"/>
                <w:color w:val="000000"/>
                <w:sz w:val="20"/>
              </w:rPr>
              <w:t>группы и иных обязательных</w:t>
            </w:r>
            <w:r>
              <w:br/>
            </w:r>
            <w:r>
              <w:rPr>
                <w:rFonts w:ascii="Times New Roman"/>
                <w:b w:val="false"/>
                <w:i w:val="false"/>
                <w:color w:val="000000"/>
                <w:sz w:val="20"/>
              </w:rPr>
              <w:t>к соблюдению норм и лимитов</w:t>
            </w:r>
          </w:p>
        </w:tc>
      </w:tr>
    </w:tbl>
    <w:bookmarkStart w:name="z191" w:id="163"/>
    <w:p>
      <w:pPr>
        <w:spacing w:after="0"/>
        <w:ind w:left="0"/>
        <w:jc w:val="left"/>
      </w:pPr>
      <w:r>
        <w:rPr>
          <w:rFonts w:ascii="Times New Roman"/>
          <w:b/>
          <w:i w:val="false"/>
          <w:color w:val="000000"/>
        </w:rPr>
        <w:t xml:space="preserve"> Таблица активов страховой (перестраховочной) организации с учетом их классификации по качеству и ликвидности</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превышающей 1 (один) процент от суммы активов страховой (перестраховочной) организации за минусом активов перестрахования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пути, в банках второго уровня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2.1 и 2.2 настоящего приложения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2.3 настоящего приложения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 имеют долгосрочный кредитный рейтинг не ниже "B"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"A-" по международной шкале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от "kzBB"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"AA-" агентства Standard &amp; Poor's (Стандард энд Пурс)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(за исключением долговых ценных бумаг, являющихся предметом операции "обратного РЕПО", заключенной с участием центрального контрагента) –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"Aстана", соответствующие требованиям фондовой биржи для включения в сектор "долговые ценные бумаги" площадки "Основная" официального списка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субъектами, отнесенными к малому или среднему предпринимательству согласно Предпринимательскому кодексу Республики Казахстан, включенные в сектор "долговые ценные бумаги" площадки "Основная" либо "Альтернативная" официального списка фондовой биржи, и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негосударственных долговых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"Aльтернативная"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"Aстана", соответствующие требованиям фондовой биржи для включения в сектор "долговые ценные бумаги" площадки "Aльтернативная" официального списка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Standard &amp; Poor's (Стандард энд Пурс) или рейтинг аналогичного уровня одного из других рейтинговых агентств, или рейтинг не ниже "kzA-"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или рейтинг от "kzBBB+"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имеющими рейтинговую оценку не ниже "AA-" агентства Standard &amp; Poor's (Стандард энд Пурс) или рейтинг аналогичного уровня одного из других рейтинговых агентств, а также долговые ценные бумаги, выпущенные Евразийским Банком Развития и номинированные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"ВВ+" до "ВВ-" по международной шкале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 до "В-" по международной шкале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не ниже "ВВВ-" по международной шкале агентства Standard &amp; Poor's (Стандард энд Пурс) или рейтинг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"ВВ+" до "ВВ-" по международной шкале агентства Standard &amp; Poor's (Стандард энд Пурс) или рейтинг одного их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 до "В-" по международной шкале агентства Standard &amp; Poor's (Стандард энд Пурс) или рейтинг одного их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(за исключением акций и депозитарных расписок, являющихся предметом операции "обратного РЕПО", заключенной с участием центрального контрагента) –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активом которых являются данные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включенные в официальный список фондовой биржи, функционирующей на территории Международного финансового центра "Aстана", допущенные к публичным торгам, и депозитарные расписки, базовым активом которых являются данные акции, за исключением акций и депозитарных расписок, базовым активом которых являются данные акции, указанных в строке 4.4 настоящего приложения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"Aльтернативная" официального списка фондовой биржи, или акции юридических лиц Республики Казахстан, включенные в подраздел официального списка "Сегмент регионального рынка акций" фондовой биржи, функционирующей на территории Международного финансового центра "Aстана", допущенные к публичным торгам, и депозитарные расписки, базовым активом которых являются данные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Exchange Traded Commodities (ETC) (Эксчейндж Трэйдэд Коммодитис), Exchange Traded Notes (ETN) (Эксчейндж Трэйдэд Ноутс), имеющие рейтинговую оценку не ниже "3 звезды" рейтингового агентства Morningstar (Морнинстар)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"ВВВ-" по международной шкале агентства Standard &amp; Poor's (Стандард энд Пурс) или рейтинг аналогичного уровня одного из других рейтинговых агентств, или рейтинг не ниже "kzAAA"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 оценку от "BB+" до "ВВ-" по международной шкале агентства Standard &amp; Poor's (Стандард энд Пурс) или рейтинг аналогичного уровня одного из других рейтинговых агентств, или рейтинг от "kzAA+" до "kzA-"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или рейтинг от "kzBBB+"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(Стандард энд Пурс)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являющиеся предметом операции "обратного РЕПО", заключенной с участием центрального контрагента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страхователям страховой (перестраховочной) организации, осуществляющей деятельность по отрасли "страхование жизни", в объеме 100 (ста) процентов от суммы основного долга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в виде недвижимого имущества в сумме, не превышающей 5 (пяти) процентов от суммы высоколиквидных активов страховой (перестраховочной)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к получению от перестраховщиков, страховые премии к получению от страхователей (перестрахователей) и посредников в сумме, не превышающей 10 (десяти) процентов от суммы высоколиквидных активов страховой (перестраховочной) организации, за исключением страховых премий к получению от юридических лиц, указанных в подпункте 10) пункта 34 Нормативов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в сумме, не превышающей 15 (пятнадцати) процентов от суммы высоколиквидных активов страховой (перестраховочной) организации, когда страхователем является:</w:t>
            </w:r>
          </w:p>
          <w:p>
            <w:pPr>
              <w:spacing w:after="20"/>
              <w:ind w:left="20"/>
              <w:jc w:val="both"/>
            </w:pPr>
            <w:r>
              <w:rPr>
                <w:rFonts w:ascii="Times New Roman"/>
                <w:b w:val="false"/>
                <w:i w:val="false"/>
                <w:color w:val="000000"/>
                <w:sz w:val="20"/>
              </w:rPr>
              <w:t>
юридическое лицо, более 50 (пятидесяти) процентов голосующих акций (долей участия в уставном капитале) которого прямо или косвенно принадлежат национальному управляющему холдингу, либо;</w:t>
            </w:r>
          </w:p>
          <w:p>
            <w:pPr>
              <w:spacing w:after="20"/>
              <w:ind w:left="20"/>
              <w:jc w:val="both"/>
            </w:pPr>
            <w:r>
              <w:rPr>
                <w:rFonts w:ascii="Times New Roman"/>
                <w:b w:val="false"/>
                <w:i w:val="false"/>
                <w:color w:val="000000"/>
                <w:sz w:val="20"/>
              </w:rPr>
              <w:t>
юридическое лицо с рейтингом не ниже "ВВ+" рейтингового агентства Standard &amp; Poor's (Стандард энд Пурс) или других рейтинговых агентств, либо;</w:t>
            </w:r>
          </w:p>
          <w:p>
            <w:pPr>
              <w:spacing w:after="20"/>
              <w:ind w:left="20"/>
              <w:jc w:val="both"/>
            </w:pPr>
            <w:r>
              <w:rPr>
                <w:rFonts w:ascii="Times New Roman"/>
                <w:b w:val="false"/>
                <w:i w:val="false"/>
                <w:color w:val="000000"/>
                <w:sz w:val="20"/>
              </w:rPr>
              <w:t>
крупное системообразующее предприятие, соответствующее следующим критериям:</w:t>
            </w:r>
          </w:p>
          <w:p>
            <w:pPr>
              <w:spacing w:after="20"/>
              <w:ind w:left="20"/>
              <w:jc w:val="both"/>
            </w:pPr>
            <w:r>
              <w:rPr>
                <w:rFonts w:ascii="Times New Roman"/>
                <w:b w:val="false"/>
                <w:i w:val="false"/>
                <w:color w:val="000000"/>
                <w:sz w:val="20"/>
              </w:rPr>
              <w:t>
выручка от реализации продукции (оказания услуг) составляет не менее 50 (пятидесяти) миллиардов тенге ежегодно за последние 2 (два) года</w:t>
            </w:r>
          </w:p>
          <w:p>
            <w:pPr>
              <w:spacing w:after="20"/>
              <w:ind w:left="20"/>
              <w:jc w:val="both"/>
            </w:pPr>
            <w:r>
              <w:rPr>
                <w:rFonts w:ascii="Times New Roman"/>
                <w:b w:val="false"/>
                <w:i w:val="false"/>
                <w:color w:val="000000"/>
                <w:sz w:val="20"/>
              </w:rPr>
              <w:t>
налоговые отчисления составляют не менее 3 (трех) миллиардов тенге ежегодно за последние 2 (два)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страховой</w:t>
            </w:r>
            <w:r>
              <w:br/>
            </w:r>
            <w:r>
              <w:rPr>
                <w:rFonts w:ascii="Times New Roman"/>
                <w:b w:val="false"/>
                <w:i w:val="false"/>
                <w:color w:val="000000"/>
                <w:sz w:val="20"/>
              </w:rPr>
              <w:t>деятельности,</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методике расчетов</w:t>
            </w:r>
            <w:r>
              <w:br/>
            </w:r>
            <w:r>
              <w:rPr>
                <w:rFonts w:ascii="Times New Roman"/>
                <w:b w:val="false"/>
                <w:i w:val="false"/>
                <w:color w:val="000000"/>
                <w:sz w:val="20"/>
              </w:rPr>
              <w:t>пруденциальных</w:t>
            </w:r>
            <w:r>
              <w:br/>
            </w:r>
            <w:r>
              <w:rPr>
                <w:rFonts w:ascii="Times New Roman"/>
                <w:b w:val="false"/>
                <w:i w:val="false"/>
                <w:color w:val="000000"/>
                <w:sz w:val="20"/>
              </w:rPr>
              <w:t>нормативов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и страховой группы и иных</w:t>
            </w:r>
            <w:r>
              <w:br/>
            </w:r>
            <w:r>
              <w:rPr>
                <w:rFonts w:ascii="Times New Roman"/>
                <w:b w:val="false"/>
                <w:i w:val="false"/>
                <w:color w:val="000000"/>
                <w:sz w:val="20"/>
              </w:rPr>
              <w:t>обязательных к соблюдению</w:t>
            </w:r>
            <w:r>
              <w:br/>
            </w:r>
            <w:r>
              <w:rPr>
                <w:rFonts w:ascii="Times New Roman"/>
                <w:b w:val="false"/>
                <w:i w:val="false"/>
                <w:color w:val="000000"/>
                <w:sz w:val="20"/>
              </w:rPr>
              <w:t>норм и лимитов</w:t>
            </w:r>
          </w:p>
        </w:tc>
      </w:tr>
    </w:tbl>
    <w:bookmarkStart w:name="z199" w:id="164"/>
    <w:p>
      <w:pPr>
        <w:spacing w:after="0"/>
        <w:ind w:left="0"/>
        <w:jc w:val="left"/>
      </w:pPr>
      <w:r>
        <w:rPr>
          <w:rFonts w:ascii="Times New Roman"/>
          <w:b/>
          <w:i w:val="false"/>
          <w:color w:val="000000"/>
        </w:rPr>
        <w:t xml:space="preserve"> Таблица высоколиквидных активов страховой (перестраховочной) организации</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превышавшей 1 (один) процент от суммы активов страховой (перестраховочной) организации за минусом активов перестрахования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2.1 и 2.2 настоящего приложения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2.3 настоящего приложения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 имеют долгосрочный кредитный рейтинг не ниже "B"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от "kzBB"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Standard &amp; Poor's (Стандард энд Пурс)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(за исключением долговых ценных бумаг, являющихся предметом операции "обратного РЕПО", заключенной с участием центрального контрагента) –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 соответствующие требованиям фондовой биржи для включения в сектор "долговые ценные бумаги" площадки "Основная" официального списка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ценные бумаги, выпущенные субъектами, отнесенными к малому или среднему предпринимательству согласно </w:t>
            </w:r>
            <w:r>
              <w:rPr>
                <w:rFonts w:ascii="Times New Roman"/>
                <w:b w:val="false"/>
                <w:i w:val="false"/>
                <w:color w:val="000000"/>
                <w:sz w:val="20"/>
              </w:rPr>
              <w:t>Предпринимательскому</w:t>
            </w:r>
            <w:r>
              <w:rPr>
                <w:rFonts w:ascii="Times New Roman"/>
                <w:b w:val="false"/>
                <w:i w:val="false"/>
                <w:color w:val="000000"/>
                <w:sz w:val="20"/>
              </w:rPr>
              <w:t xml:space="preserve"> кодексу Республики Казахстан, включенные в сектор "долговые ценные бумаги" площадки "Основная" либо "Альтернативная" официального списка фондовой биржи, и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негосударственных долговых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 соответствующие требованиям фондовой биржи для включения в сектор "долговые ценные бумаги" площадки "Альтернативная" официального списка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Standard &amp; Poor's (Стандард энд Пурс) или рейтинг аналогичного уровня одного из других рейтинговых агентств, или рейтинг не ниже "kzA-" по национальной шкале Standard &amp; Poor's,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или рейтинг от "kzBBB+"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имеющими рейтинговую оценку не ниже "АА-" агентства Standard &amp; Poor's (Стандард энд Пурс) или рейтинг аналогичного уровня одного из других рейтинговых агентств, а также долговые ценные бумаги, выпущенные Евразийским Банком Развития и номинированные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"ВВ+" до "ВВ-" по международной шкале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 до "В-" по международной шкале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не ниже "ВВВ-" по международной шкале агентства Standard &amp; Poor's (Стандард энд Пурс) или рейтинг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"ВВ+" до "ВВ-" по международной шкале агентства Standard &amp; Poor's (Стандард энд Пурс) или рейтинг одного их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 до "В-" по международной шкале агентства Standard &amp; Poor's (Стандард энд Пурс) или рейтинг одного их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(за исключением акций и депозитарных расписок, являющихся предметом операции "обратного РЕПО", заключенной с участием центрального контрагента) –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активом которых являются данные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включенные в официальный список фондовой биржи, функционирующей на территории Международного финансового центра "Астана", допущенные к публичным торгам, и депозитарные расписки, базовым активом которых являются данные акции, за исключением акций и депозитарных расписок, базовым активом которых являются данные акции, указанных в строке 4.4 настоящего приложения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или акции юридических лиц Республики Казахстан, включенные в подраздел официального списка "Сегмент регионального рынка акций" фондовой биржи, функционирующей на территории Международного финансового центра "Астана", допущенные к публичным торгам, и депозитарные расписки, базовым активом которых являются данные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Exchange Traded Commodities (ETC) (Эксчейндж Трэйдэд Коммодитис), Exchange Traded Notes (ETN) (Эксчейндж Трэйдэд Ноутс), имеющие рейтинговую оценку не ниже "3 звезды" рейтингового агентства Morningstar (Морнинстар)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не ниже "ВВВ-" по международной шкале агентства Standard &amp; Poor's (Стандард энд Пурс) или рейтинг аналогичного уровня одного из других рейтинговых агентств, или рейтинг не ниже "kzAAA"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 оценку от "BB+" до "ВВ-" по международной шкале агентства Standard &amp; Poor's (Стандард энд Пурс) или рейтинг аналогичного уровня одного из других рейтинговых агентств, или рейтинг от "kzAA+" до "kzA-"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или рейтинг от "kzBBB+"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(Стандард энд Пурс)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являющиеся предметом операции "обратного РЕПО", заключенной с участием центрального контрагента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