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530b" w14:textId="0af5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национальной экономики Республики Казахстан от 21 января 2015 года № 34 "Об утверждении Методики прогнозирования поступлений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марта 2023 года № 31. Зарегистрирован в Министерстве юстиции Республики Казахстан 10 марта 2023 года № 32040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2015 года № 34 "Об утверждении Методики прогнозирования поступлений бюджета" (зарегистрирован в Реестре государственной регистрации нормативных правовых актов за № 10322)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прогнозирования поступлений бюджета,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Прогноз по корпоративному подоходному налогу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за исключением поступлений от организаций нефтяного сектора (далее – КПН от субъектов крупного предпринимательства)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определяется на основе объема валовой добавленной стоимости (далее – ВДС) ненефтяного сектора ПСЭР, нефтяного вторичного и третичного секторов ПСЭР, эффективной ставки налога по следующей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KРN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KРN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общая прогнозная сумма КПН от субъектов крупного предпринимательства;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KРN</w:t>
      </w:r>
      <w:r>
        <w:rPr>
          <w:rFonts w:ascii="Times New Roman"/>
          <w:b w:val="false"/>
          <w:i w:val="false"/>
          <w:color w:val="000000"/>
          <w:vertAlign w:val="subscript"/>
        </w:rPr>
        <w:t>п1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вдс(п.)</w:t>
      </w:r>
      <w:r>
        <w:rPr>
          <w:rFonts w:ascii="Times New Roman"/>
          <w:b w:val="false"/>
          <w:i w:val="false"/>
          <w:color w:val="000000"/>
          <w:sz w:val="28"/>
        </w:rPr>
        <w:t xml:space="preserve"> *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) + NA, где: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п1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КПН от субъектов крупного предпринимательства ненефтяного сектора;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вдс(п)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прогнозный объем ВДС ненефтяного сектора;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эффективная ставка КПН от субъектов крупного предпринимательства ненефтяного сектора за отчетный финансовый год, %;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 – налоговое и таможенное администрирование (0,3% к ВДС ненефтяного сектора в номинальном выражении);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= KРN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/V</w:t>
      </w:r>
      <w:r>
        <w:rPr>
          <w:rFonts w:ascii="Times New Roman"/>
          <w:b w:val="false"/>
          <w:i w:val="false"/>
          <w:color w:val="000000"/>
          <w:vertAlign w:val="subscript"/>
        </w:rPr>
        <w:t>вдс(отч)</w:t>
      </w:r>
      <w:r>
        <w:rPr>
          <w:rFonts w:ascii="Times New Roman"/>
          <w:b w:val="false"/>
          <w:i w:val="false"/>
          <w:color w:val="000000"/>
          <w:sz w:val="28"/>
        </w:rPr>
        <w:t xml:space="preserve"> * 100, где: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фактические поступления КПН от субъектов крупного предпринимательства ненефтяного сектора за отчетный финансовый год;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вдс(отч)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ВДС ненефтяного сектора за отчетный финансовый год;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KРN</w:t>
      </w:r>
      <w:r>
        <w:rPr>
          <w:rFonts w:ascii="Times New Roman"/>
          <w:b w:val="false"/>
          <w:i w:val="false"/>
          <w:color w:val="000000"/>
          <w:vertAlign w:val="subscript"/>
        </w:rPr>
        <w:t>п2</w:t>
      </w:r>
      <w:r>
        <w:rPr>
          <w:rFonts w:ascii="Times New Roman"/>
          <w:b w:val="false"/>
          <w:i w:val="false"/>
          <w:color w:val="000000"/>
          <w:sz w:val="28"/>
        </w:rPr>
        <w:t xml:space="preserve"> = ((V</w:t>
      </w:r>
      <w:r>
        <w:rPr>
          <w:rFonts w:ascii="Times New Roman"/>
          <w:b w:val="false"/>
          <w:i w:val="false"/>
          <w:color w:val="000000"/>
          <w:vertAlign w:val="subscript"/>
        </w:rPr>
        <w:t>вдс(п.н2)</w:t>
      </w:r>
      <w:r>
        <w:rPr>
          <w:rFonts w:ascii="Times New Roman"/>
          <w:b w:val="false"/>
          <w:i w:val="false"/>
          <w:color w:val="000000"/>
          <w:sz w:val="28"/>
        </w:rPr>
        <w:t xml:space="preserve"> + V</w:t>
      </w:r>
      <w:r>
        <w:rPr>
          <w:rFonts w:ascii="Times New Roman"/>
          <w:b w:val="false"/>
          <w:i w:val="false"/>
          <w:color w:val="000000"/>
          <w:vertAlign w:val="subscript"/>
        </w:rPr>
        <w:t>вдс(п.н3)</w:t>
      </w:r>
      <w:r>
        <w:rPr>
          <w:rFonts w:ascii="Times New Roman"/>
          <w:b w:val="false"/>
          <w:i w:val="false"/>
          <w:color w:val="000000"/>
          <w:sz w:val="28"/>
        </w:rPr>
        <w:t>) *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) + NA, где: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п2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КПН от субъектов крупного предпринимательства, формирующих ВДС вторичного и третичного нефтяного сектора;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вдс(п.н2)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прогнозный объем ВДС нефтяного вторичного сектора;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вдс(п.н3)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прогнозный объем ВДС нефтяного третичного сектора;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эффективная ставка КПН от субъектов крупного предпринимательства, формирующих ВДС вторичного и третичного нефтяного сектора за отчетный финансовый год, 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 – налоговое и таможенное администрирование (0,3% к ВДС нефтяного вторичного и третичного секторов ПСЭР в номинальном выражении);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= KРN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/(V</w:t>
      </w:r>
      <w:r>
        <w:rPr>
          <w:rFonts w:ascii="Times New Roman"/>
          <w:b w:val="false"/>
          <w:i w:val="false"/>
          <w:color w:val="000000"/>
          <w:vertAlign w:val="subscript"/>
        </w:rPr>
        <w:t>вдс(отч.н2)</w:t>
      </w:r>
      <w:r>
        <w:rPr>
          <w:rFonts w:ascii="Times New Roman"/>
          <w:b w:val="false"/>
          <w:i w:val="false"/>
          <w:color w:val="000000"/>
          <w:sz w:val="28"/>
        </w:rPr>
        <w:t>+ V</w:t>
      </w:r>
      <w:r>
        <w:rPr>
          <w:rFonts w:ascii="Times New Roman"/>
          <w:b w:val="false"/>
          <w:i w:val="false"/>
          <w:color w:val="000000"/>
          <w:vertAlign w:val="subscript"/>
        </w:rPr>
        <w:t>вдс(отч.н3)</w:t>
      </w:r>
      <w:r>
        <w:rPr>
          <w:rFonts w:ascii="Times New Roman"/>
          <w:b w:val="false"/>
          <w:i w:val="false"/>
          <w:color w:val="000000"/>
          <w:sz w:val="28"/>
        </w:rPr>
        <w:t>) * 100, где: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KРN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фактические поступления КПН от субъектов крупного предпринимательства, формирующих ВДС вторичного и третичного нефтяного сектора за отчетный финансовый год;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вдс(отч.н2)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ВДС нефтяного вторичного сектора ПСЭР за отчетный финансовый год.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вдс(отч.</w:t>
      </w:r>
      <w:r>
        <w:rPr>
          <w:rFonts w:ascii="Times New Roman"/>
          <w:b w:val="false"/>
          <w:i w:val="false"/>
          <w:color w:val="000000"/>
          <w:vertAlign w:val="subscript"/>
        </w:rPr>
        <w:t>н3)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ВДС нефтяного третичного сектора ПСЭР за отчетный финансовый год.";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Прогноз налога на добавленную стоимость (далее – НДС) на произведенные товары, выполненные работы и оказанные услуги на территории Республики Казахстан определяется на основе прогнозируемого валового внутреннего продукта (далее – ВВП) в соответствии с ПСЭР и эффективной ставки по следующей формуле: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NDS</w:t>
      </w:r>
      <w:r>
        <w:rPr>
          <w:rFonts w:ascii="Times New Roman"/>
          <w:b w:val="false"/>
          <w:i w:val="false"/>
          <w:color w:val="000000"/>
          <w:vertAlign w:val="subscript"/>
        </w:rPr>
        <w:t>в(п)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ввп(п)</w:t>
      </w:r>
      <w:r>
        <w:rPr>
          <w:rFonts w:ascii="Times New Roman"/>
          <w:b w:val="false"/>
          <w:i w:val="false"/>
          <w:color w:val="000000"/>
          <w:sz w:val="28"/>
        </w:rPr>
        <w:t xml:space="preserve"> * S) – X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+ NA, где: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NDS</w:t>
      </w:r>
      <w:r>
        <w:rPr>
          <w:rFonts w:ascii="Times New Roman"/>
          <w:b w:val="false"/>
          <w:i w:val="false"/>
          <w:color w:val="000000"/>
          <w:vertAlign w:val="subscript"/>
        </w:rPr>
        <w:t>в(п)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НДС;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ввп (п</w:t>
      </w:r>
      <w:r>
        <w:rPr>
          <w:rFonts w:ascii="Times New Roman"/>
          <w:b w:val="false"/>
          <w:i w:val="false"/>
          <w:color w:val="000000"/>
          <w:vertAlign w:val="subscript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прогнозный объем ВВП;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эффективная ставка НДС в размере 2,4 %;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(п)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возврата НДС (в среднем за три года или данные уполномоченного органа);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 – налоговое и таможенное администрирование (0,2 % к ВВП в номинальном выражении).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Прогноз по НДС на товары, импортируемые на территорию Республики Казахстан, определяется на основе прогнозируемого объема импорта, курса тенге к доллару США в соответствии с ПСЭР и эффективной ставки по следующей формуле: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NDS</w:t>
      </w:r>
      <w:r>
        <w:rPr>
          <w:rFonts w:ascii="Times New Roman"/>
          <w:b w:val="false"/>
          <w:i w:val="false"/>
          <w:color w:val="000000"/>
          <w:vertAlign w:val="subscript"/>
        </w:rPr>
        <w:t>им(п)</w:t>
      </w:r>
      <w:r>
        <w:rPr>
          <w:rFonts w:ascii="Times New Roman"/>
          <w:b w:val="false"/>
          <w:i w:val="false"/>
          <w:color w:val="000000"/>
          <w:sz w:val="28"/>
        </w:rPr>
        <w:t xml:space="preserve"> = (V</w:t>
      </w:r>
      <w:r>
        <w:rPr>
          <w:rFonts w:ascii="Times New Roman"/>
          <w:b w:val="false"/>
          <w:i w:val="false"/>
          <w:color w:val="000000"/>
          <w:vertAlign w:val="subscript"/>
        </w:rPr>
        <w:t>им(п)</w:t>
      </w:r>
      <w:r>
        <w:rPr>
          <w:rFonts w:ascii="Times New Roman"/>
          <w:b w:val="false"/>
          <w:i w:val="false"/>
          <w:color w:val="000000"/>
          <w:sz w:val="28"/>
        </w:rPr>
        <w:t xml:space="preserve"> * S) + NA, где: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NDS</w:t>
      </w:r>
      <w:r>
        <w:rPr>
          <w:rFonts w:ascii="Times New Roman"/>
          <w:b w:val="false"/>
          <w:i w:val="false"/>
          <w:color w:val="000000"/>
          <w:vertAlign w:val="subscript"/>
        </w:rPr>
        <w:t>им(п)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НДС на импортируемые товары;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им(п)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прогнозный объем импорта, в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(отч)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эффективная ставка НДС за отчетный финансовый год, %;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 – налоговое администрирование (0,2% к объему импорта),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(отч)</w:t>
      </w:r>
      <w:r>
        <w:rPr>
          <w:rFonts w:ascii="Times New Roman"/>
          <w:b w:val="false"/>
          <w:i w:val="false"/>
          <w:color w:val="000000"/>
          <w:sz w:val="28"/>
        </w:rPr>
        <w:t>= NDS</w:t>
      </w:r>
      <w:r>
        <w:rPr>
          <w:rFonts w:ascii="Times New Roman"/>
          <w:b w:val="false"/>
          <w:i w:val="false"/>
          <w:color w:val="000000"/>
          <w:vertAlign w:val="subscript"/>
        </w:rPr>
        <w:t>им(отч)</w:t>
      </w:r>
      <w:r>
        <w:rPr>
          <w:rFonts w:ascii="Times New Roman"/>
          <w:b w:val="false"/>
          <w:i w:val="false"/>
          <w:color w:val="000000"/>
          <w:sz w:val="28"/>
        </w:rPr>
        <w:t xml:space="preserve"> /V</w:t>
      </w:r>
      <w:r>
        <w:rPr>
          <w:rFonts w:ascii="Times New Roman"/>
          <w:b w:val="false"/>
          <w:i w:val="false"/>
          <w:color w:val="000000"/>
          <w:vertAlign w:val="subscript"/>
        </w:rPr>
        <w:t>им(</w:t>
      </w:r>
      <w:r>
        <w:rPr>
          <w:rFonts w:ascii="Times New Roman"/>
          <w:b w:val="false"/>
          <w:i w:val="false"/>
          <w:color w:val="000000"/>
          <w:vertAlign w:val="subscript"/>
        </w:rPr>
        <w:t>отч)</w:t>
      </w:r>
      <w:r>
        <w:rPr>
          <w:rFonts w:ascii="Times New Roman"/>
          <w:b w:val="false"/>
          <w:i w:val="false"/>
          <w:color w:val="000000"/>
          <w:sz w:val="28"/>
        </w:rPr>
        <w:t xml:space="preserve"> * 100, где: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NDS</w:t>
      </w:r>
      <w:r>
        <w:rPr>
          <w:rFonts w:ascii="Times New Roman"/>
          <w:b w:val="false"/>
          <w:i w:val="false"/>
          <w:color w:val="000000"/>
          <w:vertAlign w:val="subscript"/>
        </w:rPr>
        <w:t>им(отч)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фактические поступления НДС на импортируемые товары за отчетный финансовый год;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им(отч)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импорта по отчетному финансовому году в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Прогноз поступления бонусов по недропользователям, за исключением организаций нефтяного сектора определяется на основе динамики поступлений за последние три года.";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К другим платежам, зачисляемым в республиканский бюджет,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относятся: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предоставление междугородной и (или) международной телефонной связи, а также сотовой связи;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радиочастотного спектра;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 охраняемых природных территорий республиканского значения;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цифровой майнинг;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проезд автотранспортных средств по территории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разрешения на использование радиочастотного спектра телевизионным и радиовещательным организациям;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разрешительных документов, согласия для участников банковского и страхового рынков;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сертификатов, выдаваемых уполномоченной организацией в сфере гражданской авиации, на соответствие сертификационным требованиям, установленным законодательством Республики Казахстан, регулирующим использование воздушного пространства Республики Казахстан и деятельность авиации;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лекарственных средств и медицинских изделий, а также их перерегистрацию;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постановку на учет теле-, радиоканала, периодического печатного издания информационного агентства и сетевого издания;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космических объектов и прав на них;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выдачу лицензии, связанной с правом занятия отдельными подвидами деятельности в сфере углеводородов;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документа, подтверждающего резидентство иностранца или лица без гражданства, являющегося инвестиционным резидентом Международного финансового центра "Астана";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9-1 следующего содержания: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9-1. Платеж по возмещению исторических затрат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76-1. Прогноз поступлений платежа по возмещению исторических затрат определяется методом усредненного расчета по формуле: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оц</w:t>
      </w:r>
      <w:r>
        <w:rPr>
          <w:rFonts w:ascii="Times New Roman"/>
          <w:b w:val="false"/>
          <w:i w:val="false"/>
          <w:color w:val="000000"/>
          <w:sz w:val="28"/>
        </w:rPr>
        <w:t xml:space="preserve"> * T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срд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платежа по возмещению исторических затрат;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oц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платежа по возмещению исторических затрат по текущему финансовому году;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срд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темп роста за три года, %,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срд</w:t>
      </w:r>
      <w:r>
        <w:rPr>
          <w:rFonts w:ascii="Times New Roman"/>
          <w:b w:val="false"/>
          <w:i w:val="false"/>
          <w:color w:val="000000"/>
          <w:sz w:val="28"/>
        </w:rPr>
        <w:t xml:space="preserve"> = (T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отч(1год)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отч(2год)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отч(3год)</w:t>
      </w:r>
      <w:r>
        <w:rPr>
          <w:rFonts w:ascii="Times New Roman"/>
          <w:b w:val="false"/>
          <w:i w:val="false"/>
          <w:color w:val="000000"/>
          <w:sz w:val="28"/>
        </w:rPr>
        <w:t>)/3, где: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отч(1год)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 роста поступлений платежа по возмещению исторических затрат первого года, %;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отч(2год)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 роста поступлений платежа по возмещению исторических затрат второго года, %;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>отч(3год)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темп роста поступлений платежа по возмещению исторических затрат третьего года, %.";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"77. К платам и сборам, зачисляемым в бюджеты областей, городов республиканского значения, столицы,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относятся: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животным миром;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 охраняемых природных территорий местного значения;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негативное воздействие на окружающую среду;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растительными ресурсами в порядке специального пользования растительным миром;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республиканского значения, столицы, в полосе отвода автомобильных дорог общего пользования, проходящих через территорию города республиканского значения, столицы;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выдачу или продление разрешения на привлечение иностранной рабочей силы в Республику Казахстан;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12 следующего содержания:</w:t>
      </w:r>
    </w:p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"Параграф 12. Прогнозирование поступлений в Национальный фонд Республики Казахстан по цене отсечения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Бюджетного кодекса Республики Казахстан объем гарантированного трансферта из Национального фонда Республики Казахстан не превышает объем прогнозируемых поступлений в Национальный фонд Республики Казахстан при цене отсечения. Цена отсечения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марта 2022 года № 21 "Об утверждении Правил определения цены отсечения" (зарегистрирован в Реестре государственной регистрации нормативных правовых актов за № 27070).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Прогнозирование налоговых поступлений осуществляется на основе объема добычи нефти, экспорта нефти, мировой цены на нефть марки Brent [Брент] и курса тенге к доллару США.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Прогноз поступлений определяется путем применения средней эффективной ставки за последние пять лет по налогам по следующей формуле: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Nalog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D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* Z * S</w:t>
      </w:r>
      <w:r>
        <w:rPr>
          <w:rFonts w:ascii="Times New Roman"/>
          <w:b w:val="false"/>
          <w:i w:val="false"/>
          <w:color w:val="000000"/>
          <w:vertAlign w:val="subscript"/>
        </w:rPr>
        <w:t>сред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Nalog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сумма налога от организаций нефтяного сектора;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прогнозируемый объем добычи нефти, газового конденсат;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средняя цена реализации нефти;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сред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эффективная ставка за последние пять лет, %.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Эффективная ставка за отчетный финансовый год определяется по следующей формуле: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= Nalog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/ (D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* Z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>), где: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эффективная ставка отчетного финансового года;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Nalog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фактическое поступление налога от организаций нефтяного сектора за отчетный финансовый год;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отч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объем добычи нефти, газового конденсата отчетного финансового года;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Zотч – фактическая цена на нефти отчетного финансового года".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определении средней цены реализации нефти мировая цена на нефть пересчитывается на прогнозируемый курс тенге к доллару США и на коэффициент перевода баррель в тонны, который равен 7,5.".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налоговой и таможенной политики в установленном законодательством порядке обеспечить: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3" w:id="1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