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bbd2" w14:textId="a2cb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апреля 2023 года № 14. Зарегистрировано в Министерстве юстиции Республики Казахстан 2 мая 2023 года № 32405</w:t>
      </w:r>
    </w:p>
    <w:p>
      <w:pPr>
        <w:spacing w:after="0"/>
        <w:ind w:left="0"/>
        <w:jc w:val="left"/>
      </w:pPr>
    </w:p>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"98.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bookmarkStart w:name="z9" w:id="0"/>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bookmarkEnd w:id="0"/>
    <w:bookmarkStart w:name="z10" w:id="1"/>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1"/>
    <w:bookmarkStart w:name="z11" w:id="2"/>
    <w:p>
      <w:pPr>
        <w:spacing w:after="0"/>
        <w:ind w:left="0"/>
        <w:jc w:val="both"/>
      </w:pPr>
      <w:r>
        <w:rPr>
          <w:rFonts w:ascii="Times New Roman"/>
          <w:b w:val="false"/>
          <w:i w:val="false"/>
          <w:color w:val="000000"/>
          <w:sz w:val="28"/>
        </w:rPr>
        <w:t>
      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2"/>
    <w:bookmarkStart w:name="z12" w:id="3"/>
    <w:p>
      <w:pPr>
        <w:spacing w:after="0"/>
        <w:ind w:left="0"/>
        <w:jc w:val="both"/>
      </w:pPr>
      <w:r>
        <w:rPr>
          <w:rFonts w:ascii="Times New Roman"/>
          <w:b w:val="false"/>
          <w:i w:val="false"/>
          <w:color w:val="000000"/>
          <w:sz w:val="28"/>
        </w:rPr>
        <w:t>
      4) недопущение вовлечения банка и его работников, клиентов банка в осуществление противоправной деятельности, в том числе мошенничества, обмана, ОД/ФТ, в осуществление операций на территории Республики Казахстан, связанных с проведением операций, имеющих высокий риск ОД/ФТ, в осуществление операций на территории Республики Казахстан, связанных с дальнейшим приобретением необеспеченных цифровых активов на биржах цифровых активов, не являющихся участниками Международного финансового центра "Астана", оказывающими услуги по управлению платформой цифровых активов.</w:t>
      </w:r>
    </w:p>
    <w:bookmarkEnd w:id="3"/>
    <w:bookmarkStart w:name="z13" w:id="4"/>
    <w:p>
      <w:pPr>
        <w:spacing w:after="0"/>
        <w:ind w:left="0"/>
        <w:jc w:val="both"/>
      </w:pPr>
      <w:r>
        <w:rPr>
          <w:rFonts w:ascii="Times New Roman"/>
          <w:b w:val="false"/>
          <w:i w:val="false"/>
          <w:color w:val="000000"/>
          <w:sz w:val="28"/>
        </w:rPr>
        <w:t>
      В отношении участника Международного финансового центра "Астана", оказывающего услуги по управлению платформой цифровых активов, банк осуществляет оценку риска ОД/ФТ. При присвоении участнику Международного финансового центра "Астана", оказывающему услуги по управлению платформой цифровых активов, высокого уровня риска ОД/ФТ банк применяет усиленные меры надлежащей проверки клиентов, а также при проведении банковских операций отвечает за:</w:t>
      </w:r>
    </w:p>
    <w:bookmarkEnd w:id="4"/>
    <w:bookmarkStart w:name="z14" w:id="5"/>
    <w:p>
      <w:pPr>
        <w:spacing w:after="0"/>
        <w:ind w:left="0"/>
        <w:jc w:val="both"/>
      </w:pPr>
      <w:r>
        <w:rPr>
          <w:rFonts w:ascii="Times New Roman"/>
          <w:b w:val="false"/>
          <w:i w:val="false"/>
          <w:color w:val="000000"/>
          <w:sz w:val="28"/>
        </w:rPr>
        <w:t>
      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bookmarkEnd w:id="5"/>
    <w:bookmarkStart w:name="z15" w:id="6"/>
    <w:p>
      <w:pPr>
        <w:spacing w:after="0"/>
        <w:ind w:left="0"/>
        <w:jc w:val="both"/>
      </w:pPr>
      <w:r>
        <w:rPr>
          <w:rFonts w:ascii="Times New Roman"/>
          <w:b w:val="false"/>
          <w:i w:val="false"/>
          <w:color w:val="000000"/>
          <w:sz w:val="28"/>
        </w:rPr>
        <w:t>
      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со стороны Комитета Международного финансового центра "Астана" по регулированию финансовых услуг;</w:t>
      </w:r>
    </w:p>
    <w:bookmarkEnd w:id="6"/>
    <w:bookmarkStart w:name="z16" w:id="7"/>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bookmarkEnd w:id="7"/>
    <w:bookmarkStart w:name="z17" w:id="8"/>
    <w:p>
      <w:pPr>
        <w:spacing w:after="0"/>
        <w:ind w:left="0"/>
        <w:jc w:val="both"/>
      </w:pPr>
      <w:r>
        <w:rPr>
          <w:rFonts w:ascii="Times New Roman"/>
          <w:b w:val="false"/>
          <w:i w:val="false"/>
          <w:color w:val="000000"/>
          <w:sz w:val="28"/>
        </w:rPr>
        <w:t>
      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bookmarkEnd w:id="8"/>
    <w:bookmarkStart w:name="z18" w:id="9"/>
    <w:p>
      <w:pPr>
        <w:spacing w:after="0"/>
        <w:ind w:left="0"/>
        <w:jc w:val="both"/>
      </w:pPr>
      <w:r>
        <w:rPr>
          <w:rFonts w:ascii="Times New Roman"/>
          <w:b w:val="false"/>
          <w:i w:val="false"/>
          <w:color w:val="000000"/>
          <w:sz w:val="28"/>
        </w:rPr>
        <w:t>
      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bookmarkEnd w:id="9"/>
    <w:bookmarkStart w:name="z19" w:id="10"/>
    <w:p>
      <w:pPr>
        <w:spacing w:after="0"/>
        <w:ind w:left="0"/>
        <w:jc w:val="both"/>
      </w:pPr>
      <w:r>
        <w:rPr>
          <w:rFonts w:ascii="Times New Roman"/>
          <w:b w:val="false"/>
          <w:i w:val="false"/>
          <w:color w:val="000000"/>
          <w:sz w:val="28"/>
        </w:rPr>
        <w:t>
      в отношении которого применяются международные санкции в соответствии с резолюциями Совета Безопасности Организации Объединенных Наций;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включенного в перечень офшорных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bookmarkStart w:name="z22" w:id="11"/>
    <w:p>
      <w:pPr>
        <w:spacing w:after="0"/>
        <w:ind w:left="0"/>
        <w:jc w:val="both"/>
      </w:pPr>
      <w:r>
        <w:rPr>
          <w:rFonts w:ascii="Times New Roman"/>
          <w:b w:val="false"/>
          <w:i w:val="false"/>
          <w:color w:val="000000"/>
          <w:sz w:val="28"/>
        </w:rPr>
        <w:t xml:space="preserve">
      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 </w:t>
      </w:r>
    </w:p>
    <w:bookmarkEnd w:id="11"/>
    <w:bookmarkStart w:name="z23" w:id="12"/>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 с деньгами и (или) иным имуществом (далее – подозрительные операции);</w:t>
      </w:r>
    </w:p>
    <w:bookmarkEnd w:id="12"/>
    <w:bookmarkStart w:name="z24" w:id="13"/>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3"/>
    <w:bookmarkStart w:name="z25" w:id="14"/>
    <w:p>
      <w:pPr>
        <w:spacing w:after="0"/>
        <w:ind w:left="0"/>
        <w:jc w:val="both"/>
      </w:pPr>
      <w:r>
        <w:rPr>
          <w:rFonts w:ascii="Times New Roman"/>
          <w:b w:val="false"/>
          <w:i w:val="false"/>
          <w:color w:val="000000"/>
          <w:sz w:val="28"/>
        </w:rPr>
        <w:t>
      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bookmarkEnd w:id="14"/>
    <w:bookmarkStart w:name="z26" w:id="15"/>
    <w:p>
      <w:pPr>
        <w:spacing w:after="0"/>
        <w:ind w:left="0"/>
        <w:jc w:val="both"/>
      </w:pPr>
      <w:r>
        <w:rPr>
          <w:rFonts w:ascii="Times New Roman"/>
          <w:b w:val="false"/>
          <w:i w:val="false"/>
          <w:color w:val="000000"/>
          <w:sz w:val="28"/>
        </w:rPr>
        <w:t>
      обеспечение хранения записи транзакций по операциям с деньгами и предоставление информации в уполномоченный орган по финансовому мониторингу;</w:t>
      </w:r>
    </w:p>
    <w:bookmarkEnd w:id="15"/>
    <w:bookmarkStart w:name="z27" w:id="16"/>
    <w:p>
      <w:pPr>
        <w:spacing w:after="0"/>
        <w:ind w:left="0"/>
        <w:jc w:val="both"/>
      </w:pPr>
      <w:r>
        <w:rPr>
          <w:rFonts w:ascii="Times New Roman"/>
          <w:b w:val="false"/>
          <w:i w:val="false"/>
          <w:color w:val="000000"/>
          <w:sz w:val="28"/>
        </w:rPr>
        <w:t>
      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bookmarkEnd w:id="16"/>
    <w:bookmarkStart w:name="z28" w:id="17"/>
    <w:p>
      <w:pPr>
        <w:spacing w:after="0"/>
        <w:ind w:left="0"/>
        <w:jc w:val="both"/>
      </w:pPr>
      <w:r>
        <w:rPr>
          <w:rFonts w:ascii="Times New Roman"/>
          <w:b w:val="false"/>
          <w:i w:val="false"/>
          <w:color w:val="000000"/>
          <w:sz w:val="28"/>
        </w:rPr>
        <w:t>
      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7"/>
    <w:bookmarkStart w:name="z29" w:id="18"/>
    <w:p>
      <w:pPr>
        <w:spacing w:after="0"/>
        <w:ind w:left="0"/>
        <w:jc w:val="both"/>
      </w:pPr>
      <w:r>
        <w:rPr>
          <w:rFonts w:ascii="Times New Roman"/>
          <w:b w:val="false"/>
          <w:i w:val="false"/>
          <w:color w:val="000000"/>
          <w:sz w:val="28"/>
        </w:rPr>
        <w:t>
      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не превышающей 1 000 (одну тысячу) долларов США в эквиваленте по рыночному курсу обмена валют на дату проведения банковской операции, применяет упрощенные меры надлежащей проверки клиентов, за исключением случаев совершения клиентами подозрительных операций.</w:t>
      </w:r>
    </w:p>
    <w:bookmarkStart w:name="z31" w:id="19"/>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равной или превышающей 1 000 (одну тысячу) долларов США в эквиваленте по рыночному курсу обмена валют на дату проведения банковской операции, применяет усиленные меры надлежащей проверки клиентов и отвечает за:</w:t>
      </w:r>
    </w:p>
    <w:bookmarkEnd w:id="19"/>
    <w:bookmarkStart w:name="z32" w:id="20"/>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bookmarkEnd w:id="20"/>
    <w:bookmarkStart w:name="z33" w:id="21"/>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21"/>
    <w:bookmarkStart w:name="z34" w:id="22"/>
    <w:p>
      <w:pPr>
        <w:spacing w:after="0"/>
        <w:ind w:left="0"/>
        <w:jc w:val="both"/>
      </w:pPr>
      <w:r>
        <w:rPr>
          <w:rFonts w:ascii="Times New Roman"/>
          <w:b w:val="false"/>
          <w:i w:val="false"/>
          <w:color w:val="000000"/>
          <w:sz w:val="28"/>
        </w:rPr>
        <w:t xml:space="preserve">
      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 </w:t>
      </w:r>
    </w:p>
    <w:bookmarkEnd w:id="22"/>
    <w:bookmarkStart w:name="z35" w:id="23"/>
    <w:p>
      <w:pPr>
        <w:spacing w:after="0"/>
        <w:ind w:left="0"/>
        <w:jc w:val="both"/>
      </w:pPr>
      <w:r>
        <w:rPr>
          <w:rFonts w:ascii="Times New Roman"/>
          <w:b w:val="false"/>
          <w:i w:val="false"/>
          <w:color w:val="000000"/>
          <w:sz w:val="28"/>
        </w:rPr>
        <w:t xml:space="preserve">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23"/>
    <w:bookmarkStart w:name="z36" w:id="24"/>
    <w:p>
      <w:pPr>
        <w:spacing w:after="0"/>
        <w:ind w:left="0"/>
        <w:jc w:val="both"/>
      </w:pPr>
      <w:r>
        <w:rPr>
          <w:rFonts w:ascii="Times New Roman"/>
          <w:b w:val="false"/>
          <w:i w:val="false"/>
          <w:color w:val="000000"/>
          <w:sz w:val="28"/>
        </w:rPr>
        <w:t>
      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bookmarkEnd w:id="24"/>
    <w:bookmarkStart w:name="z37" w:id="25"/>
    <w:p>
      <w:pPr>
        <w:spacing w:after="0"/>
        <w:ind w:left="0"/>
        <w:jc w:val="both"/>
      </w:pPr>
      <w:r>
        <w:rPr>
          <w:rFonts w:ascii="Times New Roman"/>
          <w:b w:val="false"/>
          <w:i w:val="false"/>
          <w:color w:val="000000"/>
          <w:sz w:val="28"/>
        </w:rPr>
        <w:t>
      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bookmarkEnd w:id="25"/>
    <w:bookmarkStart w:name="z38" w:id="26"/>
    <w:p>
      <w:pPr>
        <w:spacing w:after="0"/>
        <w:ind w:left="0"/>
        <w:jc w:val="both"/>
      </w:pPr>
      <w:r>
        <w:rPr>
          <w:rFonts w:ascii="Times New Roman"/>
          <w:b w:val="false"/>
          <w:i w:val="false"/>
          <w:color w:val="000000"/>
          <w:sz w:val="28"/>
        </w:rPr>
        <w:t>
      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bookmarkEnd w:id="26"/>
    <w:bookmarkStart w:name="z39" w:id="27"/>
    <w:p>
      <w:pPr>
        <w:spacing w:after="0"/>
        <w:ind w:left="0"/>
        <w:jc w:val="both"/>
      </w:pPr>
      <w:r>
        <w:rPr>
          <w:rFonts w:ascii="Times New Roman"/>
          <w:b w:val="false"/>
          <w:i w:val="false"/>
          <w:color w:val="000000"/>
          <w:sz w:val="28"/>
        </w:rPr>
        <w:t>
      бизнес-план и бизнес-модель участника Международного финансового центра "Астана", оказывающего услуги по управлению платформой цифровых активов;</w:t>
      </w:r>
    </w:p>
    <w:bookmarkEnd w:id="27"/>
    <w:bookmarkStart w:name="z40" w:id="28"/>
    <w:p>
      <w:pPr>
        <w:spacing w:after="0"/>
        <w:ind w:left="0"/>
        <w:jc w:val="both"/>
      </w:pPr>
      <w:r>
        <w:rPr>
          <w:rFonts w:ascii="Times New Roman"/>
          <w:b w:val="false"/>
          <w:i w:val="false"/>
          <w:color w:val="000000"/>
          <w:sz w:val="28"/>
        </w:rPr>
        <w:t>
      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bookmarkEnd w:id="28"/>
    <w:bookmarkStart w:name="z41" w:id="29"/>
    <w:p>
      <w:pPr>
        <w:spacing w:after="0"/>
        <w:ind w:left="0"/>
        <w:jc w:val="both"/>
      </w:pPr>
      <w:r>
        <w:rPr>
          <w:rFonts w:ascii="Times New Roman"/>
          <w:b w:val="false"/>
          <w:i w:val="false"/>
          <w:color w:val="000000"/>
          <w:sz w:val="28"/>
        </w:rPr>
        <w:t>
      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bookmarkEnd w:id="29"/>
    <w:bookmarkStart w:name="z42" w:id="30"/>
    <w:p>
      <w:pPr>
        <w:spacing w:after="0"/>
        <w:ind w:left="0"/>
        <w:jc w:val="both"/>
      </w:pPr>
      <w:r>
        <w:rPr>
          <w:rFonts w:ascii="Times New Roman"/>
          <w:b w:val="false"/>
          <w:i w:val="false"/>
          <w:color w:val="000000"/>
          <w:sz w:val="28"/>
        </w:rPr>
        <w:t>
      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bookmarkEnd w:id="30"/>
    <w:bookmarkStart w:name="z43" w:id="31"/>
    <w:p>
      <w:pPr>
        <w:spacing w:after="0"/>
        <w:ind w:left="0"/>
        <w:jc w:val="both"/>
      </w:pPr>
      <w:r>
        <w:rPr>
          <w:rFonts w:ascii="Times New Roman"/>
          <w:b w:val="false"/>
          <w:i w:val="false"/>
          <w:color w:val="000000"/>
          <w:sz w:val="28"/>
        </w:rPr>
        <w:t>
      Эффективный внутренний контроль обеспечивается путем формирования надлежащего управленческого контроля и культуры контроля (контрольной среды).</w:t>
      </w:r>
    </w:p>
    <w:bookmarkEnd w:id="31"/>
    <w:bookmarkStart w:name="z44" w:id="32"/>
    <w:p>
      <w:pPr>
        <w:spacing w:after="0"/>
        <w:ind w:left="0"/>
        <w:jc w:val="both"/>
      </w:pPr>
      <w:r>
        <w:rPr>
          <w:rFonts w:ascii="Times New Roman"/>
          <w:b w:val="false"/>
          <w:i w:val="false"/>
          <w:color w:val="000000"/>
          <w:sz w:val="28"/>
        </w:rPr>
        <w:t>
      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p>
    <w:bookmarkEnd w:id="32"/>
    <w:bookmarkStart w:name="z45" w:id="33"/>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33"/>
    <w:bookmarkStart w:name="z46" w:id="3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4"/>
    <w:bookmarkStart w:name="z47" w:id="3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35"/>
    <w:bookmarkStart w:name="z48" w:id="3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36"/>
    <w:bookmarkStart w:name="z49" w:id="3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37"/>
    <w:bookmarkStart w:name="z50" w:id="3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